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01" w:rsidRPr="00FD5636" w:rsidRDefault="00FD5636">
      <w:pPr>
        <w:rPr>
          <w:b/>
          <w:sz w:val="28"/>
          <w:szCs w:val="28"/>
        </w:rPr>
      </w:pPr>
      <w:r w:rsidRPr="00FD5636">
        <w:rPr>
          <w:b/>
          <w:sz w:val="28"/>
          <w:szCs w:val="28"/>
        </w:rPr>
        <w:t>Vejledning til udarbejdelse af kemisk risikovurdering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22B22" w:rsidTr="00022B22">
        <w:tc>
          <w:tcPr>
            <w:tcW w:w="4889" w:type="dxa"/>
          </w:tcPr>
          <w:p w:rsidR="00022B22" w:rsidRPr="00FD5636" w:rsidRDefault="00022B22" w:rsidP="00727C27">
            <w:pPr>
              <w:rPr>
                <w:b/>
              </w:rPr>
            </w:pPr>
            <w:r w:rsidRPr="00FD5636">
              <w:rPr>
                <w:b/>
              </w:rPr>
              <w:t>Produktnavn</w:t>
            </w:r>
          </w:p>
        </w:tc>
        <w:tc>
          <w:tcPr>
            <w:tcW w:w="4889" w:type="dxa"/>
          </w:tcPr>
          <w:p w:rsidR="00022B22" w:rsidRPr="00FD5636" w:rsidRDefault="00022B22" w:rsidP="00727C27">
            <w:pPr>
              <w:rPr>
                <w:b/>
              </w:rPr>
            </w:pPr>
            <w:r w:rsidRPr="00FD5636">
              <w:rPr>
                <w:b/>
              </w:rPr>
              <w:t>Leverandør</w:t>
            </w:r>
          </w:p>
        </w:tc>
      </w:tr>
      <w:tr w:rsidR="00022B22" w:rsidTr="00022B22">
        <w:tc>
          <w:tcPr>
            <w:tcW w:w="4889" w:type="dxa"/>
          </w:tcPr>
          <w:p w:rsidR="00022B22" w:rsidRDefault="00533BDC" w:rsidP="00727C27">
            <w:r>
              <w:t>F.eks</w:t>
            </w:r>
            <w:r w:rsidR="007B3D89">
              <w:t>.</w:t>
            </w:r>
            <w:r>
              <w:t>: Kalkfjerner, rensebenzin, eddikesyre</w:t>
            </w:r>
          </w:p>
        </w:tc>
        <w:tc>
          <w:tcPr>
            <w:tcW w:w="4889" w:type="dxa"/>
          </w:tcPr>
          <w:p w:rsidR="00022B22" w:rsidRDefault="00533BDC" w:rsidP="00727C27">
            <w:r>
              <w:t>F.eks</w:t>
            </w:r>
            <w:r w:rsidR="007B3D89">
              <w:t>.</w:t>
            </w:r>
            <w:bookmarkStart w:id="0" w:name="_GoBack"/>
            <w:bookmarkEnd w:id="0"/>
            <w:r>
              <w:t xml:space="preserve">: </w:t>
            </w:r>
            <w:proofErr w:type="spellStart"/>
            <w:r w:rsidR="00D8348B">
              <w:t>Abena</w:t>
            </w:r>
            <w:proofErr w:type="spellEnd"/>
            <w:r>
              <w:t xml:space="preserve">, Borup, </w:t>
            </w:r>
            <w:proofErr w:type="spellStart"/>
            <w:r>
              <w:t>Stadsing</w:t>
            </w:r>
            <w:proofErr w:type="spellEnd"/>
          </w:p>
        </w:tc>
      </w:tr>
    </w:tbl>
    <w:p w:rsidR="005D19D8" w:rsidRDefault="005D19D8" w:rsidP="00727C2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22B22" w:rsidTr="00022B22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B22" w:rsidRPr="00FD5636" w:rsidRDefault="00FD5636" w:rsidP="00727C27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022B22" w:rsidRPr="00FD5636">
              <w:rPr>
                <w:b/>
              </w:rPr>
              <w:t>Kemikaliets farlige egenskaber</w:t>
            </w:r>
          </w:p>
        </w:tc>
      </w:tr>
      <w:tr w:rsidR="00022B22" w:rsidTr="00022B22">
        <w:tc>
          <w:tcPr>
            <w:tcW w:w="9778" w:type="dxa"/>
            <w:tcBorders>
              <w:top w:val="single" w:sz="4" w:space="0" w:color="auto"/>
            </w:tcBorders>
          </w:tcPr>
          <w:p w:rsidR="00022B22" w:rsidRDefault="00533BDC" w:rsidP="00727C27">
            <w:r>
              <w:t>Dette fremgår af punkt 2 i sikkerhedsdatabladet</w:t>
            </w:r>
            <w:r w:rsidR="00FD5636">
              <w:t xml:space="preserve"> og er beskrevet med ord og piktogrammer</w:t>
            </w:r>
            <w:r w:rsidR="007B3D89">
              <w:t>.</w:t>
            </w:r>
            <w:r w:rsidR="00323681">
              <w:t xml:space="preserve"> F.eks</w:t>
            </w:r>
            <w:r w:rsidR="007B3D89">
              <w:t>.:</w:t>
            </w:r>
          </w:p>
          <w:p w:rsidR="00533BDC" w:rsidRDefault="00533BDC" w:rsidP="00727C27"/>
          <w:p w:rsidR="00533BDC" w:rsidRDefault="00533BDC" w:rsidP="00533BDC">
            <w:pPr>
              <w:pStyle w:val="Listeafsnit"/>
              <w:numPr>
                <w:ilvl w:val="0"/>
                <w:numId w:val="1"/>
              </w:numPr>
            </w:pPr>
            <w:r>
              <w:t>Virker ætsende på hud og øjne. Kan give varig skade på øjnene, specielt</w:t>
            </w:r>
          </w:p>
          <w:p w:rsidR="00533BDC" w:rsidRDefault="00533BDC" w:rsidP="00533BDC">
            <w:pPr>
              <w:pStyle w:val="Listeafsnit"/>
            </w:pPr>
            <w:r>
              <w:t>hvis produktet ved kontakt ikke STRAKS skylles væk.</w:t>
            </w:r>
          </w:p>
          <w:p w:rsidR="00533BDC" w:rsidRDefault="00533BDC" w:rsidP="00533BDC">
            <w:pPr>
              <w:pStyle w:val="Listeafsnit"/>
              <w:numPr>
                <w:ilvl w:val="0"/>
                <w:numId w:val="1"/>
              </w:numPr>
            </w:pPr>
            <w:r w:rsidRPr="00533BDC">
              <w:t>Kan medføre let hudirritation.</w:t>
            </w:r>
          </w:p>
          <w:p w:rsidR="00323681" w:rsidRDefault="00323681" w:rsidP="00323681">
            <w:pPr>
              <w:pStyle w:val="Listeafsnit"/>
              <w:numPr>
                <w:ilvl w:val="0"/>
                <w:numId w:val="1"/>
              </w:numPr>
            </w:pPr>
            <w:r>
              <w:t>Gentagen eksponering af organiske opløsningsmidler kan</w:t>
            </w:r>
          </w:p>
          <w:p w:rsidR="00323681" w:rsidRDefault="00323681" w:rsidP="00323681">
            <w:pPr>
              <w:pStyle w:val="Listeafsnit"/>
            </w:pPr>
            <w:r>
              <w:t>give skader på nervesystemet og indre organer som fx lever, nyrer</w:t>
            </w:r>
            <w:r>
              <w:t>.</w:t>
            </w:r>
          </w:p>
          <w:p w:rsidR="00323681" w:rsidRDefault="00323681" w:rsidP="00323681">
            <w:pPr>
              <w:pStyle w:val="Listeafsnit"/>
              <w:numPr>
                <w:ilvl w:val="0"/>
                <w:numId w:val="1"/>
              </w:numPr>
            </w:pPr>
            <w:r w:rsidRPr="00323681">
              <w:t>Kan være livsfarligt, hvis det indtages og kommer i luftvejene.</w:t>
            </w:r>
          </w:p>
          <w:p w:rsidR="00323681" w:rsidRDefault="00323681" w:rsidP="00323681">
            <w:pPr>
              <w:pStyle w:val="Listeafsnit"/>
              <w:numPr>
                <w:ilvl w:val="0"/>
                <w:numId w:val="1"/>
              </w:numPr>
            </w:pPr>
            <w:r w:rsidRPr="00323681">
              <w:t>Meget brandfarlig væske og damp.</w:t>
            </w:r>
          </w:p>
          <w:p w:rsidR="00533BDC" w:rsidRDefault="00533BDC" w:rsidP="00533BDC">
            <w:pPr>
              <w:pStyle w:val="Listeafsnit"/>
            </w:pPr>
          </w:p>
          <w:p w:rsidR="00533BDC" w:rsidRDefault="00533BDC" w:rsidP="00727C27"/>
          <w:p w:rsidR="00533BDC" w:rsidRDefault="00533BDC" w:rsidP="00727C27">
            <w:r>
              <w:rPr>
                <w:noProof/>
                <w:lang w:eastAsia="da-DK"/>
              </w:rPr>
              <w:drawing>
                <wp:inline distT="0" distB="0" distL="0" distR="0" wp14:anchorId="6455D515" wp14:editId="4BDC7320">
                  <wp:extent cx="3362763" cy="1628775"/>
                  <wp:effectExtent l="0" t="0" r="9525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088" cy="1629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4FE0" w:rsidRDefault="00CC4FE0" w:rsidP="00727C27"/>
        </w:tc>
      </w:tr>
    </w:tbl>
    <w:p w:rsidR="00022B22" w:rsidRPr="00FD5636" w:rsidRDefault="00022B22" w:rsidP="00727C27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22B22" w:rsidRPr="00FD5636" w:rsidTr="00022B22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B22" w:rsidRPr="00FD5636" w:rsidRDefault="00FD5636" w:rsidP="00727C27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022B22" w:rsidRPr="00FD5636">
              <w:rPr>
                <w:b/>
              </w:rPr>
              <w:t>Sådan arbejdes der med kemikaliet</w:t>
            </w:r>
          </w:p>
        </w:tc>
      </w:tr>
      <w:tr w:rsidR="00022B22" w:rsidTr="00022B22">
        <w:tc>
          <w:tcPr>
            <w:tcW w:w="9778" w:type="dxa"/>
            <w:tcBorders>
              <w:top w:val="single" w:sz="4" w:space="0" w:color="auto"/>
            </w:tcBorders>
          </w:tcPr>
          <w:p w:rsidR="00022B22" w:rsidRDefault="00323681" w:rsidP="00727C27">
            <w:r>
              <w:t xml:space="preserve">Her beskrives kort og præcist hvordan der på din arbejdsplads arbejdes med det pågældende produkt. </w:t>
            </w:r>
            <w:r w:rsidR="00FD5636">
              <w:t xml:space="preserve">Det skal fremgå hvor tit der arbejdes med produktet og hvor lang tid det tager. </w:t>
            </w:r>
            <w:r>
              <w:t>Det kunne f.eks. se sådan ud:</w:t>
            </w:r>
          </w:p>
          <w:p w:rsidR="00323681" w:rsidRDefault="00323681" w:rsidP="00727C27"/>
          <w:p w:rsidR="00323681" w:rsidRPr="00323681" w:rsidRDefault="00323681" w:rsidP="00323681">
            <w:pPr>
              <w:rPr>
                <w:i/>
              </w:rPr>
            </w:pPr>
            <w:r w:rsidRPr="00323681">
              <w:rPr>
                <w:i/>
              </w:rPr>
              <w:t>”</w:t>
            </w:r>
            <w:r w:rsidRPr="00323681">
              <w:rPr>
                <w:i/>
              </w:rPr>
              <w:t>Maskinopvask er en væske i en plastikdunk</w:t>
            </w:r>
            <w:r>
              <w:rPr>
                <w:i/>
              </w:rPr>
              <w:t xml:space="preserve"> bruges til opvaskemaskinen i køkkenet.  Dunken er monteret med et sug og o</w:t>
            </w:r>
            <w:r w:rsidRPr="00323681">
              <w:rPr>
                <w:i/>
              </w:rPr>
              <w:t xml:space="preserve">pvaskemaskinen suger selv den mængde maskinopvask der skal bruges op. </w:t>
            </w:r>
          </w:p>
          <w:p w:rsidR="00323681" w:rsidRPr="00323681" w:rsidRDefault="00323681" w:rsidP="00323681">
            <w:pPr>
              <w:rPr>
                <w:i/>
              </w:rPr>
            </w:pPr>
          </w:p>
          <w:p w:rsidR="00323681" w:rsidRPr="00323681" w:rsidRDefault="00323681" w:rsidP="00323681">
            <w:pPr>
              <w:rPr>
                <w:i/>
              </w:rPr>
            </w:pPr>
            <w:r w:rsidRPr="00323681">
              <w:rPr>
                <w:i/>
              </w:rPr>
              <w:t xml:space="preserve">Dunken skiftes hver </w:t>
            </w:r>
            <w:r>
              <w:rPr>
                <w:i/>
              </w:rPr>
              <w:t>ca. hver 4. uge når den er tom.</w:t>
            </w:r>
            <w:r w:rsidRPr="00323681">
              <w:rPr>
                <w:i/>
              </w:rPr>
              <w:t xml:space="preserve"> </w:t>
            </w:r>
          </w:p>
          <w:p w:rsidR="00323681" w:rsidRPr="00323681" w:rsidRDefault="00323681" w:rsidP="00323681">
            <w:pPr>
              <w:rPr>
                <w:i/>
              </w:rPr>
            </w:pPr>
          </w:p>
          <w:p w:rsidR="00FD5636" w:rsidRDefault="00323681" w:rsidP="00323681">
            <w:pPr>
              <w:rPr>
                <w:i/>
              </w:rPr>
            </w:pPr>
            <w:r w:rsidRPr="00323681">
              <w:rPr>
                <w:i/>
              </w:rPr>
              <w:t>Risikoen for at komme i kontakt med væsken forekommer</w:t>
            </w:r>
            <w:r>
              <w:rPr>
                <w:i/>
              </w:rPr>
              <w:t>,</w:t>
            </w:r>
            <w:r w:rsidRPr="00323681">
              <w:rPr>
                <w:i/>
              </w:rPr>
              <w:t xml:space="preserve"> når der skal skiftes dunk og suget skal trække</w:t>
            </w:r>
            <w:r>
              <w:rPr>
                <w:i/>
              </w:rPr>
              <w:t>s op og sættes i en ny dunk. D</w:t>
            </w:r>
            <w:r w:rsidRPr="00323681">
              <w:rPr>
                <w:i/>
              </w:rPr>
              <w:t>et er i forbindelse med dette, at der skal bæres handsker og sikkerhedsbriller.</w:t>
            </w:r>
            <w:r w:rsidR="00FD5636">
              <w:rPr>
                <w:i/>
              </w:rPr>
              <w:t xml:space="preserve"> </w:t>
            </w:r>
          </w:p>
          <w:p w:rsidR="00FD5636" w:rsidRDefault="00FD5636" w:rsidP="00323681">
            <w:pPr>
              <w:rPr>
                <w:i/>
              </w:rPr>
            </w:pPr>
          </w:p>
          <w:p w:rsidR="00CC4FE0" w:rsidRDefault="00FD5636" w:rsidP="00323681">
            <w:r>
              <w:rPr>
                <w:i/>
              </w:rPr>
              <w:t>Opgaven med at skifte dunk varer ca. 2 minutter</w:t>
            </w:r>
            <w:r w:rsidR="00323681" w:rsidRPr="00323681">
              <w:rPr>
                <w:i/>
              </w:rPr>
              <w:t>”</w:t>
            </w:r>
          </w:p>
        </w:tc>
      </w:tr>
    </w:tbl>
    <w:p w:rsidR="005D19D8" w:rsidRPr="00FD5636" w:rsidRDefault="005D19D8" w:rsidP="00727C27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22B22" w:rsidRPr="00FD5636" w:rsidTr="00022B22">
        <w:tc>
          <w:tcPr>
            <w:tcW w:w="9778" w:type="dxa"/>
            <w:tcBorders>
              <w:top w:val="nil"/>
              <w:left w:val="nil"/>
              <w:right w:val="nil"/>
            </w:tcBorders>
          </w:tcPr>
          <w:p w:rsidR="00022B22" w:rsidRPr="00FD5636" w:rsidRDefault="00FD5636" w:rsidP="00022B22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022B22" w:rsidRPr="00FD5636">
              <w:rPr>
                <w:b/>
              </w:rPr>
              <w:t>Forebyggende foranstaltninger</w:t>
            </w:r>
          </w:p>
        </w:tc>
      </w:tr>
      <w:tr w:rsidR="00022B22" w:rsidTr="00022B22">
        <w:tc>
          <w:tcPr>
            <w:tcW w:w="9778" w:type="dxa"/>
          </w:tcPr>
          <w:p w:rsidR="002F2DEE" w:rsidRDefault="008D4363" w:rsidP="00727C27">
            <w:r>
              <w:t>I langt de fleste tilfæld</w:t>
            </w:r>
            <w:r w:rsidR="002F2DEE">
              <w:t>e vil det være tilstrækkeligt at skrive</w:t>
            </w:r>
            <w:r w:rsidR="00177D18">
              <w:t xml:space="preserve"> følgende</w:t>
            </w:r>
            <w:r w:rsidR="002F2DEE">
              <w:t>:</w:t>
            </w:r>
          </w:p>
          <w:p w:rsidR="002F2DEE" w:rsidRDefault="002F2DEE" w:rsidP="00727C27"/>
          <w:p w:rsidR="002F2DEE" w:rsidRDefault="002F2DEE" w:rsidP="002F2DEE">
            <w:pPr>
              <w:pStyle w:val="Listeafsnit"/>
              <w:numPr>
                <w:ilvl w:val="0"/>
                <w:numId w:val="3"/>
              </w:numPr>
            </w:pPr>
            <w:r>
              <w:t>Anvendelse af de værnemidler</w:t>
            </w:r>
            <w:r w:rsidR="00177D18">
              <w:t>,</w:t>
            </w:r>
            <w:r>
              <w:t xml:space="preserve"> der nævnes i afsnittet nedenfor</w:t>
            </w:r>
            <w:r w:rsidR="00177D18">
              <w:t>,</w:t>
            </w:r>
            <w:r>
              <w:t xml:space="preserve"> vil være tilstrækkeligt </w:t>
            </w:r>
            <w:r>
              <w:lastRenderedPageBreak/>
              <w:t>til at forebygge risikoen ved arbejdet.</w:t>
            </w:r>
          </w:p>
          <w:p w:rsidR="002F2DEE" w:rsidRDefault="002F2DEE" w:rsidP="00727C27"/>
          <w:p w:rsidR="00022B22" w:rsidRDefault="002F2DEE" w:rsidP="00727C27">
            <w:r>
              <w:t>Derudover skal dette afsnit udbygges med oplysninger fra punkt</w:t>
            </w:r>
            <w:r w:rsidR="008D4363">
              <w:t xml:space="preserve"> 7 i sikkerhedsdatabladet. </w:t>
            </w:r>
            <w:r>
              <w:t xml:space="preserve">Hvis det ikke er muligt at undgå alle risici ved at bruge værnemidler. Det gælder bl.a. hvis der opstår en ny risiko hvis produktet kommer i kontakt med et andet produkt. </w:t>
            </w:r>
          </w:p>
          <w:p w:rsidR="008D4363" w:rsidRDefault="008D4363" w:rsidP="00727C27"/>
          <w:p w:rsidR="002F2DEE" w:rsidRDefault="002F2DEE" w:rsidP="002F2DEE">
            <w:pPr>
              <w:pStyle w:val="Listeafsnit"/>
              <w:numPr>
                <w:ilvl w:val="0"/>
                <w:numId w:val="2"/>
              </w:numPr>
            </w:pPr>
            <w:r>
              <w:t>Opbevares beskyttet mod syrer.</w:t>
            </w:r>
          </w:p>
          <w:p w:rsidR="002F2DEE" w:rsidRDefault="002F2DEE" w:rsidP="002F2DEE">
            <w:pPr>
              <w:pStyle w:val="Listeafsnit"/>
              <w:numPr>
                <w:ilvl w:val="0"/>
                <w:numId w:val="2"/>
              </w:numPr>
            </w:pPr>
            <w:r w:rsidRPr="002F2DEE">
              <w:t>Må ikke blandes med Klo</w:t>
            </w:r>
            <w:r>
              <w:t>r</w:t>
            </w:r>
          </w:p>
          <w:p w:rsidR="008D4363" w:rsidRDefault="008D4363" w:rsidP="008D4363">
            <w:pPr>
              <w:pStyle w:val="Listeafsnit"/>
              <w:numPr>
                <w:ilvl w:val="0"/>
                <w:numId w:val="2"/>
              </w:numPr>
            </w:pPr>
            <w:r>
              <w:t>Undgå spild og kontakt med hud og øjne. Brug arbejdsmetoder, der minimerer</w:t>
            </w:r>
          </w:p>
          <w:p w:rsidR="00177D18" w:rsidRDefault="008D4363" w:rsidP="00177D18">
            <w:pPr>
              <w:pStyle w:val="Listeafsnit"/>
            </w:pPr>
            <w:r>
              <w:t>spredning i form af dampe, støv, røg, aerosoler, stænk mv.</w:t>
            </w:r>
          </w:p>
          <w:p w:rsidR="008D4363" w:rsidRDefault="008D4363" w:rsidP="00177D18">
            <w:pPr>
              <w:pStyle w:val="Listeafsnit"/>
              <w:numPr>
                <w:ilvl w:val="0"/>
                <w:numId w:val="2"/>
              </w:numPr>
            </w:pPr>
            <w:r>
              <w:t xml:space="preserve">Undgå direkte </w:t>
            </w:r>
            <w:r w:rsidR="002F2DEE">
              <w:t xml:space="preserve">kontakt med produktet. </w:t>
            </w:r>
          </w:p>
          <w:p w:rsidR="008D4363" w:rsidRDefault="008D4363" w:rsidP="008D4363">
            <w:pPr>
              <w:pStyle w:val="Listeafsnit"/>
              <w:numPr>
                <w:ilvl w:val="0"/>
                <w:numId w:val="2"/>
              </w:numPr>
            </w:pPr>
            <w:r>
              <w:t xml:space="preserve">Opbevares i tætlukket originalemballage. </w:t>
            </w:r>
          </w:p>
          <w:p w:rsidR="00CC4FE0" w:rsidRDefault="008D4363" w:rsidP="00727C27">
            <w:pPr>
              <w:pStyle w:val="Listeafsnit"/>
              <w:numPr>
                <w:ilvl w:val="0"/>
                <w:numId w:val="2"/>
              </w:numPr>
            </w:pPr>
            <w:r>
              <w:t xml:space="preserve">Må ikke opbevares sammen med </w:t>
            </w:r>
            <w:r>
              <w:t>nærings- og ny</w:t>
            </w:r>
            <w:r w:rsidR="002F2DEE">
              <w:t>delsesmidler samt foderstoffer.</w:t>
            </w:r>
          </w:p>
        </w:tc>
      </w:tr>
    </w:tbl>
    <w:p w:rsidR="00022B22" w:rsidRDefault="00022B22" w:rsidP="00727C2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22B22" w:rsidTr="00022B22">
        <w:tc>
          <w:tcPr>
            <w:tcW w:w="9778" w:type="dxa"/>
            <w:tcBorders>
              <w:top w:val="nil"/>
              <w:left w:val="nil"/>
              <w:right w:val="nil"/>
            </w:tcBorders>
          </w:tcPr>
          <w:p w:rsidR="00022B22" w:rsidRPr="00FD5636" w:rsidRDefault="00FD5636" w:rsidP="00727C27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022B22" w:rsidRPr="00FD5636">
              <w:rPr>
                <w:b/>
              </w:rPr>
              <w:t>Anvendelse af personlige værnemidler</w:t>
            </w:r>
          </w:p>
        </w:tc>
      </w:tr>
      <w:tr w:rsidR="00022B22" w:rsidTr="00022B22">
        <w:tc>
          <w:tcPr>
            <w:tcW w:w="9778" w:type="dxa"/>
          </w:tcPr>
          <w:p w:rsidR="00F40333" w:rsidRDefault="00F40333" w:rsidP="00727C27">
            <w:r>
              <w:t>I afsnit 8 i sikkerhedsdatabladet kan man se om der skal anvendes værnemidler for at arbejde med produktet og i så fald hvilke.</w:t>
            </w:r>
          </w:p>
          <w:p w:rsidR="00F40333" w:rsidRDefault="00F40333" w:rsidP="00727C27"/>
          <w:p w:rsidR="00022B22" w:rsidRDefault="00F40333" w:rsidP="00727C27">
            <w:r>
              <w:t xml:space="preserve">Hvis der er krav om anvendelse af værnemidler for at kunne arbejde med produktet, så beskrives det her. Det kan gøres med tekst eller piktogrammer som dem der ses nedenfor. </w:t>
            </w:r>
          </w:p>
          <w:p w:rsidR="00EA27D1" w:rsidRDefault="00EA27D1" w:rsidP="00727C27"/>
          <w:p w:rsidR="00EA27D1" w:rsidRDefault="00EA27D1" w:rsidP="00727C27"/>
          <w:p w:rsidR="00EA27D1" w:rsidRDefault="00EA27D1" w:rsidP="00727C27"/>
          <w:p w:rsidR="00CA4FAC" w:rsidRDefault="00EA27D1" w:rsidP="00727C27">
            <w:r>
              <w:rPr>
                <w:noProof/>
                <w:lang w:eastAsia="da-DK"/>
              </w:rPr>
              <w:drawing>
                <wp:inline distT="0" distB="0" distL="0" distR="0" wp14:anchorId="7AE92B4C" wp14:editId="4D1B70D8">
                  <wp:extent cx="1238250" cy="1238250"/>
                  <wp:effectExtent l="0" t="0" r="0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a-DK"/>
              </w:rPr>
              <w:t xml:space="preserve"> </w:t>
            </w:r>
            <w:r>
              <w:rPr>
                <w:noProof/>
                <w:lang w:eastAsia="da-DK"/>
              </w:rPr>
              <w:drawing>
                <wp:inline distT="0" distB="0" distL="0" distR="0" wp14:anchorId="78EC3841" wp14:editId="71D0FEB9">
                  <wp:extent cx="1228725" cy="1228725"/>
                  <wp:effectExtent l="0" t="0" r="9525" b="9525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a-DK"/>
              </w:rPr>
              <w:t xml:space="preserve"> </w:t>
            </w:r>
            <w:r>
              <w:rPr>
                <w:noProof/>
                <w:lang w:eastAsia="da-DK"/>
              </w:rPr>
              <w:drawing>
                <wp:inline distT="0" distB="0" distL="0" distR="0" wp14:anchorId="1772606F" wp14:editId="47E2995F">
                  <wp:extent cx="1200150" cy="1200150"/>
                  <wp:effectExtent l="0" t="0" r="0" b="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4FAC" w:rsidRDefault="00CA4FAC" w:rsidP="00727C27"/>
        </w:tc>
      </w:tr>
    </w:tbl>
    <w:p w:rsidR="00022B22" w:rsidRDefault="00022B22" w:rsidP="00727C2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22B22" w:rsidTr="00022B22">
        <w:tc>
          <w:tcPr>
            <w:tcW w:w="9778" w:type="dxa"/>
            <w:tcBorders>
              <w:top w:val="nil"/>
              <w:left w:val="nil"/>
              <w:right w:val="nil"/>
            </w:tcBorders>
          </w:tcPr>
          <w:p w:rsidR="00022B22" w:rsidRPr="00FD5636" w:rsidRDefault="00FD5636" w:rsidP="00727C27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022B22" w:rsidRPr="00FD5636">
              <w:rPr>
                <w:b/>
              </w:rPr>
              <w:t>Førstehjælp</w:t>
            </w:r>
          </w:p>
        </w:tc>
      </w:tr>
      <w:tr w:rsidR="00022B22" w:rsidTr="00022B22">
        <w:tc>
          <w:tcPr>
            <w:tcW w:w="9778" w:type="dxa"/>
          </w:tcPr>
          <w:p w:rsidR="00022B22" w:rsidRDefault="00F40333" w:rsidP="00727C27">
            <w:r>
              <w:t>I afsnit 4 i sikkerhedsdatabladet kan man læse om den førstehjælp der skal ydes, hvis en person er blevet udsat for produktet</w:t>
            </w:r>
            <w:r w:rsidR="00FD5636">
              <w:t xml:space="preserve">. </w:t>
            </w:r>
          </w:p>
          <w:p w:rsidR="00FD5636" w:rsidRDefault="00FD5636" w:rsidP="00727C27"/>
          <w:p w:rsidR="00CA4FAC" w:rsidRDefault="00FD5636" w:rsidP="00FD5636">
            <w:r>
              <w:t>Man kan med fordel kopiere hele afsnit 4 og sætte ind her.</w:t>
            </w:r>
          </w:p>
        </w:tc>
      </w:tr>
    </w:tbl>
    <w:p w:rsidR="00022B22" w:rsidRDefault="00022B22" w:rsidP="00727C27"/>
    <w:sectPr w:rsidR="00022B2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66547"/>
    <w:multiLevelType w:val="hybridMultilevel"/>
    <w:tmpl w:val="23A85D26"/>
    <w:lvl w:ilvl="0" w:tplc="040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F1D0359"/>
    <w:multiLevelType w:val="hybridMultilevel"/>
    <w:tmpl w:val="61546F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94267"/>
    <w:multiLevelType w:val="hybridMultilevel"/>
    <w:tmpl w:val="A58EB3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BA"/>
    <w:rsid w:val="00022B22"/>
    <w:rsid w:val="00177D18"/>
    <w:rsid w:val="00180FB3"/>
    <w:rsid w:val="002F2DEE"/>
    <w:rsid w:val="00323681"/>
    <w:rsid w:val="00453E01"/>
    <w:rsid w:val="004705F7"/>
    <w:rsid w:val="00533BDC"/>
    <w:rsid w:val="005D19D8"/>
    <w:rsid w:val="006A2FFB"/>
    <w:rsid w:val="00714ABA"/>
    <w:rsid w:val="00727C27"/>
    <w:rsid w:val="007B3D89"/>
    <w:rsid w:val="008D4363"/>
    <w:rsid w:val="00994116"/>
    <w:rsid w:val="00CA4FAC"/>
    <w:rsid w:val="00CC4FE0"/>
    <w:rsid w:val="00D8348B"/>
    <w:rsid w:val="00EA27D1"/>
    <w:rsid w:val="00EF14C0"/>
    <w:rsid w:val="00F40333"/>
    <w:rsid w:val="00F63623"/>
    <w:rsid w:val="00F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9D8"/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6362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3623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F14C0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F14C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27C27"/>
    <w:pPr>
      <w:keepNext/>
      <w:keepLines/>
      <w:spacing w:before="200" w:after="0"/>
      <w:outlineLvl w:val="4"/>
    </w:pPr>
    <w:rPr>
      <w:rFonts w:eastAsiaTheme="majorEastAsia" w:cstheme="maj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63623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63623"/>
    <w:rPr>
      <w:rFonts w:ascii="Verdana" w:eastAsiaTheme="majorEastAsia" w:hAnsi="Verdana" w:cstheme="majorBidi"/>
      <w:b/>
      <w:bCs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F636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63623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63623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63623"/>
    <w:rPr>
      <w:rFonts w:ascii="Verdana" w:eastAsiaTheme="majorEastAsia" w:hAnsi="Verdana" w:cstheme="majorBidi"/>
      <w:i/>
      <w:iCs/>
      <w:spacing w:val="15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F63623"/>
    <w:rPr>
      <w:rFonts w:ascii="Verdana" w:hAnsi="Verdana"/>
      <w:i/>
      <w:iCs/>
      <w:color w:val="808080" w:themeColor="text1" w:themeTint="7F"/>
      <w:sz w:val="20"/>
    </w:rPr>
  </w:style>
  <w:style w:type="character" w:styleId="Fremhv">
    <w:name w:val="Emphasis"/>
    <w:basedOn w:val="Standardskrifttypeiafsnit"/>
    <w:uiPriority w:val="20"/>
    <w:qFormat/>
    <w:rsid w:val="00F63623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F63623"/>
    <w:rPr>
      <w:b/>
      <w:bCs/>
      <w:i/>
      <w:iCs/>
      <w:color w:val="auto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F14C0"/>
    <w:rPr>
      <w:rFonts w:ascii="Verdana" w:eastAsiaTheme="majorEastAsia" w:hAnsi="Verdan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F14C0"/>
    <w:rPr>
      <w:rFonts w:ascii="Verdana" w:eastAsiaTheme="majorEastAsia" w:hAnsi="Verdana" w:cstheme="majorBidi"/>
      <w:b/>
      <w:bCs/>
      <w:i/>
      <w:iCs/>
    </w:rPr>
  </w:style>
  <w:style w:type="paragraph" w:styleId="Ingenafstand">
    <w:name w:val="No Spacing"/>
    <w:uiPriority w:val="1"/>
    <w:qFormat/>
    <w:rsid w:val="00727C27"/>
    <w:pPr>
      <w:spacing w:after="0" w:line="240" w:lineRule="auto"/>
    </w:pPr>
    <w:rPr>
      <w:rFonts w:ascii="Verdana" w:hAnsi="Verdana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27C27"/>
    <w:rPr>
      <w:rFonts w:ascii="Verdana" w:eastAsiaTheme="majorEastAsia" w:hAnsi="Verdana" w:cstheme="majorBidi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411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18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33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9D8"/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6362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3623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F14C0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F14C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27C27"/>
    <w:pPr>
      <w:keepNext/>
      <w:keepLines/>
      <w:spacing w:before="200" w:after="0"/>
      <w:outlineLvl w:val="4"/>
    </w:pPr>
    <w:rPr>
      <w:rFonts w:eastAsiaTheme="majorEastAsia" w:cstheme="maj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63623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63623"/>
    <w:rPr>
      <w:rFonts w:ascii="Verdana" w:eastAsiaTheme="majorEastAsia" w:hAnsi="Verdana" w:cstheme="majorBidi"/>
      <w:b/>
      <w:bCs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F636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63623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63623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63623"/>
    <w:rPr>
      <w:rFonts w:ascii="Verdana" w:eastAsiaTheme="majorEastAsia" w:hAnsi="Verdana" w:cstheme="majorBidi"/>
      <w:i/>
      <w:iCs/>
      <w:spacing w:val="15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F63623"/>
    <w:rPr>
      <w:rFonts w:ascii="Verdana" w:hAnsi="Verdana"/>
      <w:i/>
      <w:iCs/>
      <w:color w:val="808080" w:themeColor="text1" w:themeTint="7F"/>
      <w:sz w:val="20"/>
    </w:rPr>
  </w:style>
  <w:style w:type="character" w:styleId="Fremhv">
    <w:name w:val="Emphasis"/>
    <w:basedOn w:val="Standardskrifttypeiafsnit"/>
    <w:uiPriority w:val="20"/>
    <w:qFormat/>
    <w:rsid w:val="00F63623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F63623"/>
    <w:rPr>
      <w:b/>
      <w:bCs/>
      <w:i/>
      <w:iCs/>
      <w:color w:val="auto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F14C0"/>
    <w:rPr>
      <w:rFonts w:ascii="Verdana" w:eastAsiaTheme="majorEastAsia" w:hAnsi="Verdan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F14C0"/>
    <w:rPr>
      <w:rFonts w:ascii="Verdana" w:eastAsiaTheme="majorEastAsia" w:hAnsi="Verdana" w:cstheme="majorBidi"/>
      <w:b/>
      <w:bCs/>
      <w:i/>
      <w:iCs/>
    </w:rPr>
  </w:style>
  <w:style w:type="paragraph" w:styleId="Ingenafstand">
    <w:name w:val="No Spacing"/>
    <w:uiPriority w:val="1"/>
    <w:qFormat/>
    <w:rsid w:val="00727C27"/>
    <w:pPr>
      <w:spacing w:after="0" w:line="240" w:lineRule="auto"/>
    </w:pPr>
    <w:rPr>
      <w:rFonts w:ascii="Verdana" w:hAnsi="Verdana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27C27"/>
    <w:rPr>
      <w:rFonts w:ascii="Verdana" w:eastAsiaTheme="majorEastAsia" w:hAnsi="Verdana" w:cstheme="majorBidi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411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18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33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AF59E241</Template>
  <TotalTime>84</TotalTime>
  <Pages>2</Pages>
  <Words>399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Fredensborg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Steen Saarde</dc:creator>
  <cp:lastModifiedBy>Bo Steen Saarde</cp:lastModifiedBy>
  <cp:revision>4</cp:revision>
  <dcterms:created xsi:type="dcterms:W3CDTF">2020-02-04T10:29:00Z</dcterms:created>
  <dcterms:modified xsi:type="dcterms:W3CDTF">2020-02-04T14:11:00Z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{52AD4BEA-0E08-4F61-A707-D95CA6E4583A}</vt:lpwstr>
  </property>
</Properties>
</file>