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BD2" w:rsidRPr="008554AF" w:rsidRDefault="00BC7BD2" w:rsidP="00BC7BD2">
      <w:pPr>
        <w:pStyle w:val="Overskrift2"/>
        <w:rPr>
          <w:rFonts w:eastAsia="Times New Roman" w:cs="Times New Roman"/>
          <w:i/>
        </w:rPr>
      </w:pPr>
      <w:r w:rsidRPr="008554AF">
        <w:rPr>
          <w:rFonts w:eastAsia="Times New Roman" w:cs="Times New Roman"/>
          <w:i/>
        </w:rPr>
        <w:t>Case</w:t>
      </w:r>
      <w:r>
        <w:rPr>
          <w:rFonts w:eastAsia="Times New Roman" w:cs="Times New Roman"/>
          <w:i/>
        </w:rPr>
        <w:t xml:space="preserve"> - </w:t>
      </w:r>
      <w:r w:rsidRPr="008554AF">
        <w:rPr>
          <w:rFonts w:eastAsia="Times New Roman" w:cs="Times New Roman"/>
          <w:i/>
        </w:rPr>
        <w:t>Implementering af ESDH i Fredensborg Kommune</w:t>
      </w:r>
    </w:p>
    <w:p w:rsidR="00BC7BD2" w:rsidRPr="008554AF" w:rsidRDefault="00BC7BD2" w:rsidP="00BC7BD2">
      <w:pPr>
        <w:rPr>
          <w:rFonts w:eastAsia="Times New Roman" w:cs="Times New Roman"/>
          <w:i/>
        </w:rPr>
      </w:pPr>
      <w:bookmarkStart w:id="0" w:name="_GoBack"/>
      <w:bookmarkEnd w:id="0"/>
      <w:r>
        <w:rPr>
          <w:rFonts w:eastAsia="Times New Roman" w:cs="Times New Roman"/>
          <w:i/>
        </w:rPr>
        <w:t>C</w:t>
      </w:r>
      <w:r w:rsidRPr="008554AF">
        <w:rPr>
          <w:rFonts w:eastAsia="Times New Roman" w:cs="Times New Roman"/>
          <w:i/>
        </w:rPr>
        <w:t xml:space="preserve">asen skal ses som et eksempel på, hvordan brugen af virkemiddelkatalogets elementer kan udfolde sig, i centralt og lokalt perspektiv. </w:t>
      </w:r>
    </w:p>
    <w:p w:rsidR="00BC7BD2" w:rsidRDefault="00BC7BD2" w:rsidP="00BC7BD2">
      <w:pPr>
        <w:rPr>
          <w:rFonts w:eastAsia="Times New Roman" w:cs="Times New Roman"/>
          <w:b/>
        </w:rPr>
      </w:pPr>
    </w:p>
    <w:p w:rsidR="00BC7BD2" w:rsidRPr="008554AF" w:rsidRDefault="00BC7BD2" w:rsidP="00BC7BD2">
      <w:pPr>
        <w:rPr>
          <w:rFonts w:eastAsia="Times New Roman" w:cs="Times New Roman"/>
          <w:b/>
        </w:rPr>
      </w:pPr>
      <w:r w:rsidRPr="008554AF">
        <w:rPr>
          <w:rFonts w:eastAsia="Times New Roman" w:cs="Times New Roman"/>
          <w:b/>
        </w:rPr>
        <w:t>Baggrund</w:t>
      </w:r>
    </w:p>
    <w:p w:rsidR="00BC7BD2" w:rsidRPr="008554AF" w:rsidRDefault="00BC7BD2" w:rsidP="00BC7BD2">
      <w:pPr>
        <w:rPr>
          <w:rFonts w:eastAsia="Times New Roman" w:cs="Times New Roman"/>
        </w:rPr>
      </w:pPr>
      <w:r w:rsidRPr="008554AF">
        <w:rPr>
          <w:rFonts w:eastAsia="Times New Roman" w:cs="Times New Roman"/>
        </w:rPr>
        <w:t xml:space="preserve">Fredensborg kommune implementerede tilbage i 2007 ESDH-systemet </w:t>
      </w:r>
      <w:proofErr w:type="spellStart"/>
      <w:r w:rsidRPr="008554AF">
        <w:rPr>
          <w:rFonts w:eastAsia="Times New Roman" w:cs="Times New Roman"/>
        </w:rPr>
        <w:t>Acadre</w:t>
      </w:r>
      <w:proofErr w:type="spellEnd"/>
      <w:r w:rsidRPr="008554AF">
        <w:rPr>
          <w:rFonts w:eastAsia="Times New Roman" w:cs="Times New Roman"/>
        </w:rPr>
        <w:t xml:space="preserve"> som et tværgående system til sags- og dokumenthåndtering. Impl</w:t>
      </w:r>
      <w:r w:rsidRPr="008554AF">
        <w:rPr>
          <w:rFonts w:eastAsia="Times New Roman" w:cs="Times New Roman"/>
        </w:rPr>
        <w:t>e</w:t>
      </w:r>
      <w:r w:rsidRPr="008554AF">
        <w:rPr>
          <w:rFonts w:eastAsia="Times New Roman" w:cs="Times New Roman"/>
        </w:rPr>
        <w:t>menteringen gik efter datidens opfattelse godt. Der blev sat strøm til en ellers manuel arbejd</w:t>
      </w:r>
      <w:r w:rsidRPr="008554AF">
        <w:rPr>
          <w:rFonts w:eastAsia="Times New Roman" w:cs="Times New Roman"/>
        </w:rPr>
        <w:t>s</w:t>
      </w:r>
      <w:r w:rsidRPr="008554AF">
        <w:rPr>
          <w:rFonts w:eastAsia="Times New Roman" w:cs="Times New Roman"/>
        </w:rPr>
        <w:t>gang. Der blev afholdt kurser for alle medarbe</w:t>
      </w:r>
      <w:r w:rsidRPr="008554AF">
        <w:rPr>
          <w:rFonts w:eastAsia="Times New Roman" w:cs="Times New Roman"/>
        </w:rPr>
        <w:t>j</w:t>
      </w:r>
      <w:r w:rsidRPr="008554AF">
        <w:rPr>
          <w:rFonts w:eastAsia="Times New Roman" w:cs="Times New Roman"/>
        </w:rPr>
        <w:t>dere, så de vidste, hvordan man opretter sager og journalisere dokumenter korrekt. Der blev arbejdet med standarder for sager og dokume</w:t>
      </w:r>
      <w:r w:rsidRPr="008554AF">
        <w:rPr>
          <w:rFonts w:eastAsia="Times New Roman" w:cs="Times New Roman"/>
        </w:rPr>
        <w:t>n</w:t>
      </w:r>
      <w:r w:rsidRPr="008554AF">
        <w:rPr>
          <w:rFonts w:eastAsia="Times New Roman" w:cs="Times New Roman"/>
        </w:rPr>
        <w:t>ter gennem brug af autoprofiler.</w:t>
      </w:r>
    </w:p>
    <w:p w:rsidR="00BC7BD2" w:rsidRPr="008554AF" w:rsidRDefault="00BC7BD2" w:rsidP="00BC7BD2">
      <w:pPr>
        <w:rPr>
          <w:rFonts w:eastAsia="Times New Roman" w:cs="Times New Roman"/>
        </w:rPr>
      </w:pPr>
    </w:p>
    <w:p w:rsidR="00BC7BD2" w:rsidRPr="008554AF" w:rsidRDefault="00BC7BD2" w:rsidP="00BC7BD2">
      <w:pPr>
        <w:rPr>
          <w:rFonts w:eastAsia="Times New Roman" w:cs="Times New Roman"/>
        </w:rPr>
      </w:pPr>
      <w:r w:rsidRPr="008554AF">
        <w:rPr>
          <w:rFonts w:eastAsia="Times New Roman" w:cs="Times New Roman"/>
        </w:rPr>
        <w:t xml:space="preserve">I forbindelse med overdragelse til drift, blev der ikke udarbejdet en plan for løbende opfølgning på implementering, herunder vedligeholdelse af medarbejdernes kompetencer og udvikling ift. brug af systemet. </w:t>
      </w:r>
    </w:p>
    <w:p w:rsidR="00BC7BD2" w:rsidRPr="008554AF" w:rsidRDefault="00BC7BD2" w:rsidP="00BC7BD2">
      <w:pPr>
        <w:rPr>
          <w:rFonts w:eastAsia="Times New Roman" w:cs="Times New Roman"/>
        </w:rPr>
      </w:pPr>
    </w:p>
    <w:p w:rsidR="00BC7BD2" w:rsidRPr="008554AF" w:rsidRDefault="00BC7BD2" w:rsidP="00BC7BD2">
      <w:pPr>
        <w:rPr>
          <w:rFonts w:eastAsia="Times New Roman" w:cs="Times New Roman"/>
        </w:rPr>
      </w:pPr>
      <w:r w:rsidRPr="008554AF">
        <w:rPr>
          <w:rFonts w:eastAsia="Times New Roman" w:cs="Times New Roman"/>
        </w:rPr>
        <w:t>I dag står vi derfor med oplevelsen af, at vi kun udnytter et lille udsnit af de muligheder, syst</w:t>
      </w:r>
      <w:r w:rsidRPr="008554AF">
        <w:rPr>
          <w:rFonts w:eastAsia="Times New Roman" w:cs="Times New Roman"/>
        </w:rPr>
        <w:t>e</w:t>
      </w:r>
      <w:r w:rsidRPr="008554AF">
        <w:rPr>
          <w:rFonts w:eastAsia="Times New Roman" w:cs="Times New Roman"/>
        </w:rPr>
        <w:t xml:space="preserve">met tilbyder. Set i sammenhæng med øgede krav til effektivisering og optimering er der behov for at ”hæve barren” og gøre </w:t>
      </w:r>
      <w:r w:rsidRPr="008554AF">
        <w:rPr>
          <w:rFonts w:eastAsia="Times New Roman" w:cs="Times New Roman"/>
        </w:rPr>
        <w:lastRenderedPageBreak/>
        <w:t xml:space="preserve">en indsats for at optimere brugen af </w:t>
      </w:r>
      <w:proofErr w:type="spellStart"/>
      <w:r w:rsidRPr="008554AF">
        <w:rPr>
          <w:rFonts w:eastAsia="Times New Roman" w:cs="Times New Roman"/>
        </w:rPr>
        <w:t>Acadre</w:t>
      </w:r>
      <w:proofErr w:type="spellEnd"/>
      <w:r w:rsidRPr="008554AF">
        <w:rPr>
          <w:rFonts w:eastAsia="Times New Roman" w:cs="Times New Roman"/>
        </w:rPr>
        <w:t>.</w:t>
      </w:r>
    </w:p>
    <w:p w:rsidR="00BC7BD2" w:rsidRDefault="00BC7BD2" w:rsidP="00BC7BD2">
      <w:pPr>
        <w:rPr>
          <w:rFonts w:eastAsia="Times New Roman" w:cs="Times New Roman"/>
        </w:rPr>
      </w:pPr>
    </w:p>
    <w:p w:rsidR="00BC7BD2" w:rsidRPr="008554AF" w:rsidRDefault="00BC7BD2" w:rsidP="00BC7BD2">
      <w:pPr>
        <w:rPr>
          <w:rFonts w:eastAsia="Times New Roman" w:cs="Times New Roman"/>
        </w:rPr>
      </w:pPr>
    </w:p>
    <w:p w:rsidR="00BC7BD2" w:rsidRPr="008554AF" w:rsidRDefault="00BC7BD2" w:rsidP="00BC7BD2">
      <w:pPr>
        <w:rPr>
          <w:rFonts w:eastAsia="Times New Roman" w:cs="Times New Roman"/>
        </w:rPr>
      </w:pPr>
      <w:r>
        <w:rPr>
          <w:rFonts w:eastAsia="Times New Roman" w:cs="Times New Roman"/>
          <w:noProof/>
          <w:color w:val="0000FF"/>
          <w:lang w:eastAsia="da-DK"/>
        </w:rPr>
        <w:drawing>
          <wp:inline distT="0" distB="0" distL="0" distR="0" wp14:anchorId="0CCB33B3" wp14:editId="6A8B24BB">
            <wp:extent cx="2144110" cy="1392871"/>
            <wp:effectExtent l="0" t="0" r="8890" b="0"/>
            <wp:docPr id="1" name="Billede 1" descr="Billedresultat for high jump 3d ico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Billedresultat for high jump 3d ico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897" cy="13953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C7BD2" w:rsidRPr="008554AF" w:rsidRDefault="00BC7BD2" w:rsidP="00BC7BD2">
      <w:pPr>
        <w:rPr>
          <w:rFonts w:eastAsia="Times New Roman" w:cs="Times New Roman"/>
        </w:rPr>
      </w:pPr>
    </w:p>
    <w:p w:rsidR="00BC7BD2" w:rsidRPr="008554AF" w:rsidRDefault="00BC7BD2" w:rsidP="00BC7BD2">
      <w:pPr>
        <w:rPr>
          <w:rFonts w:eastAsia="Times New Roman" w:cs="Times New Roman"/>
        </w:rPr>
      </w:pPr>
    </w:p>
    <w:p w:rsidR="00BC7BD2" w:rsidRDefault="00BC7BD2" w:rsidP="00BC7BD2">
      <w:pPr>
        <w:rPr>
          <w:rFonts w:eastAsia="Times New Roman" w:cs="Times New Roman"/>
          <w:b/>
          <w:sz w:val="20"/>
        </w:rPr>
      </w:pPr>
    </w:p>
    <w:p w:rsidR="00BC7BD2" w:rsidRPr="008554AF" w:rsidRDefault="00BC7BD2" w:rsidP="00BC7BD2">
      <w:pPr>
        <w:rPr>
          <w:rFonts w:eastAsia="Times New Roman" w:cs="Times New Roman"/>
          <w:b/>
          <w:sz w:val="20"/>
        </w:rPr>
      </w:pPr>
      <w:r w:rsidRPr="008554AF">
        <w:rPr>
          <w:rFonts w:eastAsia="Times New Roman" w:cs="Times New Roman"/>
          <w:b/>
          <w:sz w:val="20"/>
        </w:rPr>
        <w:t xml:space="preserve">Hvad gør vi så ved det? </w:t>
      </w:r>
    </w:p>
    <w:p w:rsidR="00BC7BD2" w:rsidRPr="008554AF" w:rsidRDefault="00BC7BD2" w:rsidP="00BC7BD2">
      <w:pPr>
        <w:rPr>
          <w:rFonts w:eastAsia="Times New Roman" w:cs="Times New Roman"/>
        </w:rPr>
      </w:pPr>
      <w:r w:rsidRPr="008554AF">
        <w:rPr>
          <w:rFonts w:eastAsia="Times New Roman" w:cs="Times New Roman"/>
        </w:rPr>
        <w:t>Arbejdet med ESDH sker centralt i ESDH-arbejdsgruppen, med repræsentanter fra Digitalisering og IT-Drift, men også ude lokalt i centr</w:t>
      </w:r>
      <w:r w:rsidRPr="008554AF">
        <w:rPr>
          <w:rFonts w:eastAsia="Times New Roman" w:cs="Times New Roman"/>
        </w:rPr>
        <w:t>e</w:t>
      </w:r>
      <w:r w:rsidRPr="008554AF">
        <w:rPr>
          <w:rFonts w:eastAsia="Times New Roman" w:cs="Times New Roman"/>
        </w:rPr>
        <w:t>ne.  I ESDH-arbejdsgruppen laver vi en plan for implementering, der sætter rammerne for, hvo</w:t>
      </w:r>
      <w:r w:rsidRPr="008554AF">
        <w:rPr>
          <w:rFonts w:eastAsia="Times New Roman" w:cs="Times New Roman"/>
        </w:rPr>
        <w:t>r</w:t>
      </w:r>
      <w:r w:rsidRPr="008554AF">
        <w:rPr>
          <w:rFonts w:eastAsia="Times New Roman" w:cs="Times New Roman"/>
        </w:rPr>
        <w:t>dan der arbejdes videre lokalt. Rammerne by</w:t>
      </w:r>
      <w:r w:rsidRPr="008554AF">
        <w:rPr>
          <w:rFonts w:eastAsia="Times New Roman" w:cs="Times New Roman"/>
        </w:rPr>
        <w:t>g</w:t>
      </w:r>
      <w:r w:rsidRPr="008554AF">
        <w:rPr>
          <w:rFonts w:eastAsia="Times New Roman" w:cs="Times New Roman"/>
        </w:rPr>
        <w:t>ger på Virkemiddelkatalogets elementer.</w:t>
      </w:r>
    </w:p>
    <w:p w:rsidR="00BC7BD2" w:rsidRPr="008554AF" w:rsidRDefault="00BC7BD2" w:rsidP="00BC7BD2">
      <w:pPr>
        <w:rPr>
          <w:rFonts w:eastAsia="Times New Roman" w:cs="Times New Roman"/>
        </w:rPr>
      </w:pPr>
    </w:p>
    <w:p w:rsidR="00BC7BD2" w:rsidRPr="008554AF" w:rsidRDefault="00BC7BD2" w:rsidP="00BC7BD2">
      <w:pPr>
        <w:rPr>
          <w:rFonts w:eastAsia="Times New Roman" w:cs="Times New Roman"/>
        </w:rPr>
      </w:pPr>
      <w:r>
        <w:rPr>
          <w:rFonts w:eastAsia="Times New Roman" w:cs="Times New Roman"/>
          <w:noProof/>
          <w:lang w:eastAsia="da-DK"/>
        </w:rPr>
        <w:drawing>
          <wp:inline distT="0" distB="0" distL="0" distR="0" wp14:anchorId="770CF771" wp14:editId="477D9E44">
            <wp:extent cx="2727325" cy="1526540"/>
            <wp:effectExtent l="0" t="0" r="0" b="0"/>
            <wp:docPr id="2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BC7BD2" w:rsidRPr="008554AF" w:rsidRDefault="00BC7BD2" w:rsidP="00BC7BD2">
      <w:pPr>
        <w:rPr>
          <w:rFonts w:eastAsia="Times New Roman" w:cs="Times New Roman"/>
        </w:rPr>
      </w:pPr>
    </w:p>
    <w:p w:rsidR="00BC7BD2" w:rsidRPr="008554AF" w:rsidRDefault="00BC7BD2" w:rsidP="00BC7BD2">
      <w:pPr>
        <w:rPr>
          <w:rFonts w:eastAsia="Times New Roman" w:cs="Times New Roman"/>
          <w:u w:val="single"/>
        </w:rPr>
      </w:pPr>
      <w:r w:rsidRPr="008554AF">
        <w:rPr>
          <w:rFonts w:eastAsia="Times New Roman" w:cs="Times New Roman"/>
          <w:u w:val="single"/>
        </w:rPr>
        <w:t>Digitale kompetencer</w:t>
      </w:r>
    </w:p>
    <w:p w:rsidR="00BC7BD2" w:rsidRPr="008554AF" w:rsidRDefault="00BC7BD2" w:rsidP="00BC7BD2">
      <w:pPr>
        <w:rPr>
          <w:rFonts w:eastAsia="Times New Roman" w:cs="Times New Roman"/>
        </w:rPr>
      </w:pPr>
      <w:r w:rsidRPr="008554AF">
        <w:rPr>
          <w:rFonts w:eastAsia="Times New Roman" w:cs="Times New Roman"/>
        </w:rPr>
        <w:t>Vi sætter rammerne for, hvordan uddannelse skal foregå, og hvad man som bruger som minimum skal være i stand til. Vi udvikler uddanne</w:t>
      </w:r>
      <w:r w:rsidRPr="008554AF">
        <w:rPr>
          <w:rFonts w:eastAsia="Times New Roman" w:cs="Times New Roman"/>
        </w:rPr>
        <w:t>l</w:t>
      </w:r>
      <w:r w:rsidRPr="008554AF">
        <w:rPr>
          <w:rFonts w:eastAsia="Times New Roman" w:cs="Times New Roman"/>
        </w:rPr>
        <w:t xml:space="preserve">sesmateriale. Vi sikrer, at der er uddannelsesmæssige kompetencer til rådighed internt i </w:t>
      </w:r>
      <w:r w:rsidRPr="008554AF">
        <w:rPr>
          <w:rFonts w:eastAsia="Times New Roman" w:cs="Times New Roman"/>
        </w:rPr>
        <w:lastRenderedPageBreak/>
        <w:t>org</w:t>
      </w:r>
      <w:r w:rsidRPr="008554AF">
        <w:rPr>
          <w:rFonts w:eastAsia="Times New Roman" w:cs="Times New Roman"/>
        </w:rPr>
        <w:t>a</w:t>
      </w:r>
      <w:r w:rsidRPr="008554AF">
        <w:rPr>
          <w:rFonts w:eastAsia="Times New Roman" w:cs="Times New Roman"/>
        </w:rPr>
        <w:t>nisationen ved oprettelse af et trænerkorps. Korpset vil være udfører på uddannelse lokalt i centrene. Korpset mødes regelmæssigt til o</w:t>
      </w:r>
      <w:r w:rsidRPr="008554AF">
        <w:rPr>
          <w:rFonts w:eastAsia="Times New Roman" w:cs="Times New Roman"/>
        </w:rPr>
        <w:t>p</w:t>
      </w:r>
      <w:r w:rsidRPr="008554AF">
        <w:rPr>
          <w:rFonts w:eastAsia="Times New Roman" w:cs="Times New Roman"/>
        </w:rPr>
        <w:t xml:space="preserve">følgning og videndeling på tværs.  </w:t>
      </w:r>
    </w:p>
    <w:p w:rsidR="00BC7BD2" w:rsidRPr="008554AF" w:rsidRDefault="00BC7BD2" w:rsidP="00BC7BD2">
      <w:pPr>
        <w:rPr>
          <w:rFonts w:eastAsia="Times New Roman" w:cs="Times New Roman"/>
        </w:rPr>
      </w:pPr>
    </w:p>
    <w:p w:rsidR="00BC7BD2" w:rsidRPr="008554AF" w:rsidRDefault="00BC7BD2" w:rsidP="00BC7BD2">
      <w:pPr>
        <w:rPr>
          <w:rFonts w:eastAsia="Times New Roman" w:cs="Times New Roman"/>
          <w:u w:val="single"/>
        </w:rPr>
      </w:pPr>
      <w:r w:rsidRPr="008554AF">
        <w:rPr>
          <w:rFonts w:eastAsia="Times New Roman" w:cs="Times New Roman"/>
          <w:u w:val="single"/>
        </w:rPr>
        <w:t>Optimering af arbejdsgange</w:t>
      </w:r>
    </w:p>
    <w:p w:rsidR="00BC7BD2" w:rsidRPr="008554AF" w:rsidRDefault="00BC7BD2" w:rsidP="00BC7BD2">
      <w:pPr>
        <w:rPr>
          <w:rFonts w:eastAsia="Times New Roman" w:cs="Times New Roman"/>
        </w:rPr>
      </w:pPr>
      <w:r w:rsidRPr="008554AF">
        <w:rPr>
          <w:rFonts w:eastAsia="Times New Roman" w:cs="Times New Roman"/>
        </w:rPr>
        <w:t xml:space="preserve">Vi sætter standarden for brug af </w:t>
      </w:r>
      <w:proofErr w:type="spellStart"/>
      <w:r w:rsidRPr="008554AF">
        <w:rPr>
          <w:rFonts w:eastAsia="Times New Roman" w:cs="Times New Roman"/>
        </w:rPr>
        <w:t>Acadre</w:t>
      </w:r>
      <w:proofErr w:type="spellEnd"/>
      <w:r w:rsidRPr="008554AF">
        <w:rPr>
          <w:rFonts w:eastAsia="Times New Roman" w:cs="Times New Roman"/>
        </w:rPr>
        <w:t>. Dette gør sig gældende ved tværgående optimering såvel som ved ibrugtagning af ny</w:t>
      </w:r>
      <w:r>
        <w:rPr>
          <w:rFonts w:eastAsia="Times New Roman" w:cs="Times New Roman"/>
        </w:rPr>
        <w:t>e</w:t>
      </w:r>
      <w:r w:rsidRPr="008554AF">
        <w:rPr>
          <w:rFonts w:eastAsia="Times New Roman" w:cs="Times New Roman"/>
        </w:rPr>
        <w:t xml:space="preserve"> </w:t>
      </w:r>
      <w:proofErr w:type="spellStart"/>
      <w:r w:rsidRPr="008554AF">
        <w:rPr>
          <w:rFonts w:eastAsia="Times New Roman" w:cs="Times New Roman"/>
        </w:rPr>
        <w:t>funktionalit</w:t>
      </w:r>
      <w:r w:rsidRPr="008554AF">
        <w:rPr>
          <w:rFonts w:eastAsia="Times New Roman" w:cs="Times New Roman"/>
        </w:rPr>
        <w:t>e</w:t>
      </w:r>
      <w:r w:rsidRPr="008554AF">
        <w:rPr>
          <w:rFonts w:eastAsia="Times New Roman" w:cs="Times New Roman"/>
        </w:rPr>
        <w:t>t</w:t>
      </w:r>
      <w:r>
        <w:rPr>
          <w:rFonts w:eastAsia="Times New Roman" w:cs="Times New Roman"/>
        </w:rPr>
        <w:t>er</w:t>
      </w:r>
      <w:proofErr w:type="spellEnd"/>
      <w:r w:rsidRPr="008554AF">
        <w:rPr>
          <w:rFonts w:eastAsia="Times New Roman" w:cs="Times New Roman"/>
        </w:rPr>
        <w:t xml:space="preserve">. Vi sætter rammerne for det løbende arbejde med optimering lokalt. Dette sker ved opbygning af eksempler Best </w:t>
      </w:r>
      <w:proofErr w:type="spellStart"/>
      <w:r w:rsidRPr="008554AF">
        <w:rPr>
          <w:rFonts w:eastAsia="Times New Roman" w:cs="Times New Roman"/>
        </w:rPr>
        <w:t>Practice</w:t>
      </w:r>
      <w:proofErr w:type="spellEnd"/>
      <w:r w:rsidRPr="008554AF">
        <w:rPr>
          <w:rFonts w:eastAsia="Times New Roman" w:cs="Times New Roman"/>
        </w:rPr>
        <w:t xml:space="preserve">, som videreformidles lokalt via trænerkorpset. </w:t>
      </w:r>
    </w:p>
    <w:p w:rsidR="00BC7BD2" w:rsidRPr="008554AF" w:rsidRDefault="00BC7BD2" w:rsidP="00BC7BD2">
      <w:pPr>
        <w:rPr>
          <w:rFonts w:eastAsia="Times New Roman" w:cs="Times New Roman"/>
          <w:u w:val="single"/>
        </w:rPr>
      </w:pPr>
      <w:r w:rsidRPr="008554AF">
        <w:rPr>
          <w:rFonts w:eastAsia="Times New Roman" w:cs="Times New Roman"/>
          <w:u w:val="single"/>
        </w:rPr>
        <w:t xml:space="preserve">Opsamling af forbedringsforslag </w:t>
      </w:r>
    </w:p>
    <w:p w:rsidR="00BC7BD2" w:rsidRPr="008554AF" w:rsidRDefault="00BC7BD2" w:rsidP="00BC7BD2">
      <w:pPr>
        <w:rPr>
          <w:rFonts w:eastAsia="Times New Roman" w:cs="Times New Roman"/>
        </w:rPr>
      </w:pPr>
      <w:r w:rsidRPr="008554AF">
        <w:rPr>
          <w:rFonts w:eastAsia="Times New Roman" w:cs="Times New Roman"/>
        </w:rPr>
        <w:t>Vi etablerer en arbejdsgruppe, der kan håndtere indkomne forslag til forbedringer. Arbejdsgruppen vil have til opgave at vurdere optimeringsp</w:t>
      </w:r>
      <w:r w:rsidRPr="008554AF">
        <w:rPr>
          <w:rFonts w:eastAsia="Times New Roman" w:cs="Times New Roman"/>
        </w:rPr>
        <w:t>o</w:t>
      </w:r>
      <w:r w:rsidRPr="008554AF">
        <w:rPr>
          <w:rFonts w:eastAsia="Times New Roman" w:cs="Times New Roman"/>
        </w:rPr>
        <w:t xml:space="preserve">tentiale i et tværgående perspektiv. </w:t>
      </w:r>
      <w:r>
        <w:rPr>
          <w:rFonts w:eastAsia="Times New Roman" w:cs="Times New Roman"/>
        </w:rPr>
        <w:t>Arbejdsgruppen</w:t>
      </w:r>
      <w:r w:rsidRPr="008554AF">
        <w:rPr>
          <w:rFonts w:eastAsia="Times New Roman" w:cs="Times New Roman"/>
        </w:rPr>
        <w:t xml:space="preserve"> vil ligeledes være ansvarlig for at videreformidle nye muligheder lanceret af leverand</w:t>
      </w:r>
      <w:r w:rsidRPr="008554AF">
        <w:rPr>
          <w:rFonts w:eastAsia="Times New Roman" w:cs="Times New Roman"/>
        </w:rPr>
        <w:t>ø</w:t>
      </w:r>
      <w:r w:rsidRPr="008554AF">
        <w:rPr>
          <w:rFonts w:eastAsia="Times New Roman" w:cs="Times New Roman"/>
        </w:rPr>
        <w:t>ren, således at man ude lokalt får denne viden til rådighed.</w:t>
      </w:r>
    </w:p>
    <w:p w:rsidR="00BC7BD2" w:rsidRDefault="00BC7BD2" w:rsidP="00BC7BD2">
      <w:pPr>
        <w:rPr>
          <w:rFonts w:eastAsia="Times New Roman" w:cs="Times New Roman"/>
        </w:rPr>
      </w:pPr>
    </w:p>
    <w:p w:rsidR="00BC7BD2" w:rsidRDefault="00BC7BD2" w:rsidP="00BC7BD2">
      <w:pPr>
        <w:rPr>
          <w:rFonts w:eastAsia="Times New Roman" w:cs="Times New Roman"/>
        </w:rPr>
      </w:pPr>
      <w:r>
        <w:rPr>
          <w:rFonts w:eastAsia="Times New Roman" w:cs="Times New Roman"/>
        </w:rPr>
        <w:t>Initiativerne der igangsættes centralt fra, i a</w:t>
      </w:r>
      <w:r>
        <w:rPr>
          <w:rFonts w:eastAsia="Times New Roman" w:cs="Times New Roman"/>
        </w:rPr>
        <w:t>r</w:t>
      </w:r>
      <w:r>
        <w:rPr>
          <w:rFonts w:eastAsia="Times New Roman" w:cs="Times New Roman"/>
        </w:rPr>
        <w:t>bejdsgruppen, skal anvendes lokalt, som ekse</w:t>
      </w:r>
      <w:r>
        <w:rPr>
          <w:rFonts w:eastAsia="Times New Roman" w:cs="Times New Roman"/>
        </w:rPr>
        <w:t>m</w:t>
      </w:r>
      <w:r>
        <w:rPr>
          <w:rFonts w:eastAsia="Times New Roman" w:cs="Times New Roman"/>
        </w:rPr>
        <w:t xml:space="preserve">plet nedenfor viser. </w:t>
      </w:r>
    </w:p>
    <w:p w:rsidR="00BC7BD2" w:rsidRDefault="00BC7BD2" w:rsidP="00BC7BD2">
      <w:pPr>
        <w:rPr>
          <w:rFonts w:eastAsia="Times New Roman" w:cs="Times New Roman"/>
        </w:rPr>
      </w:pPr>
    </w:p>
    <w:p w:rsidR="00BC7BD2" w:rsidRPr="008554AF" w:rsidRDefault="00BC7BD2" w:rsidP="00BC7BD2">
      <w:pPr>
        <w:rPr>
          <w:rFonts w:eastAsia="Times New Roman" w:cs="Times New Roman"/>
          <w:b/>
          <w:sz w:val="20"/>
        </w:rPr>
      </w:pPr>
      <w:r w:rsidRPr="008554AF">
        <w:rPr>
          <w:rFonts w:eastAsia="Times New Roman" w:cs="Times New Roman"/>
          <w:b/>
          <w:sz w:val="20"/>
        </w:rPr>
        <w:t xml:space="preserve">Lokal forandrings-/forbedringsproces </w:t>
      </w:r>
    </w:p>
    <w:p w:rsidR="00BC7BD2" w:rsidRPr="008554AF" w:rsidRDefault="00BC7BD2" w:rsidP="00BC7BD2">
      <w:pPr>
        <w:rPr>
          <w:rFonts w:eastAsia="Times New Roman" w:cs="Times New Roman"/>
        </w:rPr>
      </w:pPr>
      <w:r w:rsidRPr="008554AF">
        <w:rPr>
          <w:rFonts w:eastAsia="Times New Roman" w:cs="Times New Roman"/>
        </w:rPr>
        <w:t>I center X oplever vi lange svarfrister i forbinde</w:t>
      </w:r>
      <w:r w:rsidRPr="008554AF">
        <w:rPr>
          <w:rFonts w:eastAsia="Times New Roman" w:cs="Times New Roman"/>
        </w:rPr>
        <w:t>l</w:t>
      </w:r>
      <w:r w:rsidRPr="008554AF">
        <w:rPr>
          <w:rFonts w:eastAsia="Times New Roman" w:cs="Times New Roman"/>
        </w:rPr>
        <w:t>se med a</w:t>
      </w:r>
      <w:r>
        <w:rPr>
          <w:rFonts w:eastAsia="Times New Roman" w:cs="Times New Roman"/>
        </w:rPr>
        <w:t>kt</w:t>
      </w:r>
      <w:r w:rsidRPr="008554AF">
        <w:rPr>
          <w:rFonts w:eastAsia="Times New Roman" w:cs="Times New Roman"/>
        </w:rPr>
        <w:t>indsigtssager. Det kan skyldes, at vi ikke er konsekvente i vores måde at oprette s</w:t>
      </w:r>
      <w:r w:rsidRPr="008554AF">
        <w:rPr>
          <w:rFonts w:eastAsia="Times New Roman" w:cs="Times New Roman"/>
        </w:rPr>
        <w:t>a</w:t>
      </w:r>
      <w:r w:rsidRPr="008554AF">
        <w:rPr>
          <w:rFonts w:eastAsia="Times New Roman" w:cs="Times New Roman"/>
        </w:rPr>
        <w:t>ger og journalisere dokumenter på. Det vansk</w:t>
      </w:r>
      <w:r w:rsidRPr="008554AF">
        <w:rPr>
          <w:rFonts w:eastAsia="Times New Roman" w:cs="Times New Roman"/>
        </w:rPr>
        <w:t>e</w:t>
      </w:r>
      <w:r w:rsidRPr="008554AF">
        <w:rPr>
          <w:rFonts w:eastAsia="Times New Roman" w:cs="Times New Roman"/>
        </w:rPr>
        <w:t xml:space="preserve">liggør fremsøgning af </w:t>
      </w:r>
      <w:r w:rsidRPr="008554AF">
        <w:rPr>
          <w:rFonts w:eastAsia="Times New Roman" w:cs="Times New Roman"/>
        </w:rPr>
        <w:lastRenderedPageBreak/>
        <w:t>sager. Vi vil derfor være bedre til at oprette sager og journalisere dok</w:t>
      </w:r>
      <w:r w:rsidRPr="008554AF">
        <w:rPr>
          <w:rFonts w:eastAsia="Times New Roman" w:cs="Times New Roman"/>
        </w:rPr>
        <w:t>u</w:t>
      </w:r>
      <w:r w:rsidRPr="008554AF">
        <w:rPr>
          <w:rFonts w:eastAsia="Times New Roman" w:cs="Times New Roman"/>
        </w:rPr>
        <w:t>menter.</w:t>
      </w:r>
    </w:p>
    <w:p w:rsidR="00BC7BD2" w:rsidRPr="008554AF" w:rsidRDefault="00BC7BD2" w:rsidP="00BC7BD2">
      <w:pPr>
        <w:rPr>
          <w:rFonts w:eastAsia="Times New Roman" w:cs="Times New Roman"/>
        </w:rPr>
      </w:pPr>
    </w:p>
    <w:p w:rsidR="00BC7BD2" w:rsidRPr="008554AF" w:rsidRDefault="00BC7BD2" w:rsidP="00BC7BD2">
      <w:pPr>
        <w:rPr>
          <w:rFonts w:eastAsia="Times New Roman" w:cs="Times New Roman"/>
        </w:rPr>
      </w:pPr>
      <w:r w:rsidRPr="008554AF">
        <w:rPr>
          <w:rFonts w:eastAsia="Times New Roman" w:cs="Times New Roman"/>
        </w:rPr>
        <w:t>Vi ser et behov for uddannelse. I samarbejde med centerets ESDH-træner tilrettelægger vi undervisning i brug af autoprofiler. Vi prioriterer, at alle relevante medarbejdere gennemgår u</w:t>
      </w:r>
      <w:r w:rsidRPr="008554AF">
        <w:rPr>
          <w:rFonts w:eastAsia="Times New Roman" w:cs="Times New Roman"/>
        </w:rPr>
        <w:t>n</w:t>
      </w:r>
      <w:r w:rsidRPr="008554AF">
        <w:rPr>
          <w:rFonts w:eastAsia="Times New Roman" w:cs="Times New Roman"/>
        </w:rPr>
        <w:t>dervisning, således alle er i stand til at benytte funktionaliteten ”autoprofil”, og alle er bekendt med retningslinjer for journalisering.</w:t>
      </w:r>
    </w:p>
    <w:p w:rsidR="00BC7BD2" w:rsidRPr="008554AF" w:rsidRDefault="00BC7BD2" w:rsidP="00BC7BD2">
      <w:pPr>
        <w:rPr>
          <w:rFonts w:eastAsia="Times New Roman" w:cs="Times New Roman"/>
        </w:rPr>
      </w:pPr>
      <w:r w:rsidRPr="008554AF">
        <w:rPr>
          <w:rFonts w:eastAsia="Times New Roman" w:cs="Times New Roman"/>
        </w:rPr>
        <w:t xml:space="preserve">For at nedsætte svartiderne må vi justere vores nuværende proces for </w:t>
      </w:r>
      <w:proofErr w:type="spellStart"/>
      <w:r w:rsidRPr="008554AF">
        <w:rPr>
          <w:rFonts w:eastAsia="Times New Roman" w:cs="Times New Roman"/>
        </w:rPr>
        <w:t>sagsoprettelse</w:t>
      </w:r>
      <w:proofErr w:type="spellEnd"/>
      <w:r w:rsidRPr="008554AF">
        <w:rPr>
          <w:rFonts w:eastAsia="Times New Roman" w:cs="Times New Roman"/>
        </w:rPr>
        <w:t>. Vi får i den forbindelse afdækket vores nuværende brug af autoprofiler og får afdækket behovet for oprette</w:t>
      </w:r>
      <w:r w:rsidRPr="008554AF">
        <w:rPr>
          <w:rFonts w:eastAsia="Times New Roman" w:cs="Times New Roman"/>
        </w:rPr>
        <w:t>l</w:t>
      </w:r>
      <w:r w:rsidRPr="008554AF">
        <w:rPr>
          <w:rFonts w:eastAsia="Times New Roman" w:cs="Times New Roman"/>
        </w:rPr>
        <w:t xml:space="preserve">se af nye. Proces og arbejdsgang justeres og formidles til alle medarbejdere. </w:t>
      </w:r>
    </w:p>
    <w:p w:rsidR="00BC7BD2" w:rsidRDefault="00BC7BD2" w:rsidP="00BC7BD2">
      <w:pPr>
        <w:rPr>
          <w:rFonts w:eastAsia="Times New Roman" w:cs="Times New Roman"/>
        </w:rPr>
      </w:pPr>
    </w:p>
    <w:p w:rsidR="00BC7BD2" w:rsidRDefault="00BC7BD2" w:rsidP="00BC7BD2">
      <w:pPr>
        <w:rPr>
          <w:rFonts w:eastAsia="Times New Roman" w:cs="Times New Roman"/>
        </w:rPr>
      </w:pPr>
      <w:r w:rsidRPr="008554AF">
        <w:rPr>
          <w:rFonts w:eastAsia="Times New Roman" w:cs="Times New Roman"/>
        </w:rPr>
        <w:t xml:space="preserve">For at sikre at processer og arbejdsgange ift. </w:t>
      </w:r>
      <w:proofErr w:type="spellStart"/>
      <w:r w:rsidRPr="008554AF">
        <w:rPr>
          <w:rFonts w:eastAsia="Times New Roman" w:cs="Times New Roman"/>
        </w:rPr>
        <w:t>Acadre</w:t>
      </w:r>
      <w:proofErr w:type="spellEnd"/>
      <w:r w:rsidRPr="008554AF">
        <w:rPr>
          <w:rFonts w:eastAsia="Times New Roman" w:cs="Times New Roman"/>
        </w:rPr>
        <w:t xml:space="preserve"> vedligeholdes, etablerer vi en lokal arbejdsgruppe, der vil få til opgave at vurdere in</w:t>
      </w:r>
      <w:r w:rsidRPr="008554AF">
        <w:rPr>
          <w:rFonts w:eastAsia="Times New Roman" w:cs="Times New Roman"/>
        </w:rPr>
        <w:t>d</w:t>
      </w:r>
      <w:r w:rsidRPr="008554AF">
        <w:rPr>
          <w:rFonts w:eastAsia="Times New Roman" w:cs="Times New Roman"/>
        </w:rPr>
        <w:t>komne forslag til forbedringer fra medarbejderne. Centerets ESDH-træner er tovholder på a</w:t>
      </w:r>
      <w:r w:rsidRPr="008554AF">
        <w:rPr>
          <w:rFonts w:eastAsia="Times New Roman" w:cs="Times New Roman"/>
        </w:rPr>
        <w:t>r</w:t>
      </w:r>
      <w:r w:rsidRPr="008554AF">
        <w:rPr>
          <w:rFonts w:eastAsia="Times New Roman" w:cs="Times New Roman"/>
        </w:rPr>
        <w:t>bejdsgruppen. På den måde sikrer vi, at viden og rammer centralt fra indarbejdes i det lokale a</w:t>
      </w:r>
      <w:r w:rsidRPr="008554AF">
        <w:rPr>
          <w:rFonts w:eastAsia="Times New Roman" w:cs="Times New Roman"/>
        </w:rPr>
        <w:t>r</w:t>
      </w:r>
      <w:r w:rsidRPr="008554AF">
        <w:rPr>
          <w:rFonts w:eastAsia="Times New Roman" w:cs="Times New Roman"/>
        </w:rPr>
        <w:t>bejde.</w:t>
      </w:r>
    </w:p>
    <w:p w:rsidR="00BC7BD2" w:rsidRPr="008554AF" w:rsidRDefault="00BC7BD2" w:rsidP="00BC7BD2">
      <w:pPr>
        <w:rPr>
          <w:rFonts w:eastAsia="Times New Roman" w:cs="Times New Roman"/>
        </w:rPr>
      </w:pPr>
    </w:p>
    <w:p w:rsidR="00BC7BD2" w:rsidRDefault="00BC7BD2" w:rsidP="00BC7BD2">
      <w:pPr>
        <w:rPr>
          <w:rFonts w:eastAsia="Times New Roman" w:cs="Times New Roman"/>
        </w:rPr>
      </w:pPr>
      <w:r>
        <w:rPr>
          <w:rFonts w:eastAsia="Times New Roman" w:cs="Times New Roman"/>
          <w:noProof/>
          <w:color w:val="0000FF"/>
          <w:lang w:eastAsia="da-DK"/>
        </w:rPr>
        <w:drawing>
          <wp:inline distT="0" distB="0" distL="0" distR="0" wp14:anchorId="392D660E" wp14:editId="1DB0E847">
            <wp:extent cx="2416824" cy="1639614"/>
            <wp:effectExtent l="0" t="0" r="2540" b="0"/>
            <wp:docPr id="3" name="Billede 3" descr="Billedresultat for   3d peopl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lede 6" descr="Billedresultat for   3d peopl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967" cy="16397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C7BD2" w:rsidRPr="008554AF" w:rsidRDefault="00BC7BD2" w:rsidP="00BC7BD2">
      <w:pPr>
        <w:rPr>
          <w:rFonts w:eastAsia="Times New Roman" w:cs="Times New Roman"/>
        </w:rPr>
      </w:pPr>
    </w:p>
    <w:p w:rsidR="00BC7BD2" w:rsidRDefault="00BC7BD2" w:rsidP="00BC7BD2">
      <w:pPr>
        <w:tabs>
          <w:tab w:val="left" w:pos="4354"/>
        </w:tabs>
        <w:rPr>
          <w:sz w:val="20"/>
          <w:szCs w:val="20"/>
        </w:rPr>
      </w:pPr>
      <w:r w:rsidRPr="008554AF">
        <w:rPr>
          <w:rFonts w:eastAsia="Times New Roman" w:cs="Times New Roman"/>
        </w:rPr>
        <w:t>Ved at benytte elementerne i Virkemiddelkatal</w:t>
      </w:r>
      <w:r w:rsidRPr="008554AF">
        <w:rPr>
          <w:rFonts w:eastAsia="Times New Roman" w:cs="Times New Roman"/>
        </w:rPr>
        <w:t>o</w:t>
      </w:r>
      <w:r w:rsidRPr="008554AF">
        <w:rPr>
          <w:rFonts w:eastAsia="Times New Roman" w:cs="Times New Roman"/>
        </w:rPr>
        <w:t>get, opnår vi et 360 graders syn på problemsti</w:t>
      </w:r>
      <w:r w:rsidRPr="008554AF">
        <w:rPr>
          <w:rFonts w:eastAsia="Times New Roman" w:cs="Times New Roman"/>
        </w:rPr>
        <w:t>l</w:t>
      </w:r>
      <w:r w:rsidRPr="008554AF">
        <w:rPr>
          <w:rFonts w:eastAsia="Times New Roman" w:cs="Times New Roman"/>
        </w:rPr>
        <w:t>lingen og sikrer, at vi kommer helt i hus med den ønskede forandring.</w:t>
      </w:r>
    </w:p>
    <w:p w:rsidR="00C46F48" w:rsidRDefault="00C46F48" w:rsidP="00910078"/>
    <w:p w:rsidR="00C46F48" w:rsidRDefault="00C46F48" w:rsidP="00C46F48">
      <w:pPr>
        <w:pStyle w:val="Overskrift2"/>
      </w:pPr>
    </w:p>
    <w:p w:rsidR="00C46F48" w:rsidRDefault="00C46F48" w:rsidP="00C46F48">
      <w:pPr>
        <w:pStyle w:val="Overskrift3"/>
      </w:pPr>
    </w:p>
    <w:p w:rsidR="00C46F48" w:rsidRPr="00C46F48" w:rsidRDefault="00C46F48" w:rsidP="00C46F48">
      <w:pPr>
        <w:pStyle w:val="Overskrift4"/>
      </w:pPr>
    </w:p>
    <w:sectPr w:rsidR="00C46F48" w:rsidRPr="00C46F48" w:rsidSect="00BC7BD2">
      <w:pgSz w:w="11906" w:h="16838" w:code="9"/>
      <w:pgMar w:top="2211" w:right="3119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D2"/>
    <w:rsid w:val="008D2B5E"/>
    <w:rsid w:val="00910078"/>
    <w:rsid w:val="00B07554"/>
    <w:rsid w:val="00BC7BD2"/>
    <w:rsid w:val="00C46F48"/>
    <w:rsid w:val="00E0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BD2"/>
    <w:pPr>
      <w:spacing w:after="0" w:line="360" w:lineRule="auto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46F48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46F48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46F48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46F48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D2B5E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D2B5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D2B5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D2B5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D2B5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46F48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46F48"/>
    <w:rPr>
      <w:rFonts w:ascii="Verdana" w:eastAsiaTheme="majorEastAsia" w:hAnsi="Verdana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46F48"/>
    <w:rPr>
      <w:rFonts w:ascii="Verdana" w:eastAsiaTheme="majorEastAsia" w:hAnsi="Verdana" w:cstheme="majorBidi"/>
      <w:b/>
      <w:bCs/>
      <w:sz w:val="1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46F48"/>
    <w:rPr>
      <w:rFonts w:ascii="Verdana" w:eastAsiaTheme="majorEastAsia" w:hAnsi="Verdana" w:cstheme="majorBidi"/>
      <w:b/>
      <w:bCs/>
      <w:i/>
      <w:iCs/>
      <w:sz w:val="1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D2B5E"/>
    <w:rPr>
      <w:rFonts w:asciiTheme="majorHAnsi" w:eastAsiaTheme="majorEastAsia" w:hAnsiTheme="majorHAnsi" w:cstheme="majorBidi"/>
      <w:sz w:val="18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D2B5E"/>
    <w:rPr>
      <w:rFonts w:asciiTheme="majorHAnsi" w:eastAsiaTheme="majorEastAsia" w:hAnsiTheme="majorHAnsi" w:cstheme="majorBidi"/>
      <w:i/>
      <w:iCs/>
      <w:sz w:val="18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D2B5E"/>
    <w:rPr>
      <w:rFonts w:asciiTheme="majorHAnsi" w:eastAsiaTheme="majorEastAsia" w:hAnsiTheme="majorHAnsi" w:cstheme="majorBidi"/>
      <w:i/>
      <w:iCs/>
      <w:sz w:val="18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D2B5E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D2B5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genafstand">
    <w:name w:val="No Spacing"/>
    <w:uiPriority w:val="1"/>
    <w:qFormat/>
    <w:rsid w:val="00C46F48"/>
    <w:pPr>
      <w:spacing w:after="0" w:line="240" w:lineRule="auto"/>
    </w:pPr>
    <w:rPr>
      <w:rFonts w:ascii="Verdana" w:hAnsi="Verdana"/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C7B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C7B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BD2"/>
    <w:pPr>
      <w:spacing w:after="0" w:line="360" w:lineRule="auto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46F48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46F48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46F48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46F48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D2B5E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D2B5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D2B5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D2B5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D2B5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46F48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46F48"/>
    <w:rPr>
      <w:rFonts w:ascii="Verdana" w:eastAsiaTheme="majorEastAsia" w:hAnsi="Verdana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46F48"/>
    <w:rPr>
      <w:rFonts w:ascii="Verdana" w:eastAsiaTheme="majorEastAsia" w:hAnsi="Verdana" w:cstheme="majorBidi"/>
      <w:b/>
      <w:bCs/>
      <w:sz w:val="1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46F48"/>
    <w:rPr>
      <w:rFonts w:ascii="Verdana" w:eastAsiaTheme="majorEastAsia" w:hAnsi="Verdana" w:cstheme="majorBidi"/>
      <w:b/>
      <w:bCs/>
      <w:i/>
      <w:iCs/>
      <w:sz w:val="1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D2B5E"/>
    <w:rPr>
      <w:rFonts w:asciiTheme="majorHAnsi" w:eastAsiaTheme="majorEastAsia" w:hAnsiTheme="majorHAnsi" w:cstheme="majorBidi"/>
      <w:sz w:val="18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D2B5E"/>
    <w:rPr>
      <w:rFonts w:asciiTheme="majorHAnsi" w:eastAsiaTheme="majorEastAsia" w:hAnsiTheme="majorHAnsi" w:cstheme="majorBidi"/>
      <w:i/>
      <w:iCs/>
      <w:sz w:val="18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D2B5E"/>
    <w:rPr>
      <w:rFonts w:asciiTheme="majorHAnsi" w:eastAsiaTheme="majorEastAsia" w:hAnsiTheme="majorHAnsi" w:cstheme="majorBidi"/>
      <w:i/>
      <w:iCs/>
      <w:sz w:val="18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D2B5E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D2B5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genafstand">
    <w:name w:val="No Spacing"/>
    <w:uiPriority w:val="1"/>
    <w:qFormat/>
    <w:rsid w:val="00C46F48"/>
    <w:pPr>
      <w:spacing w:after="0" w:line="240" w:lineRule="auto"/>
    </w:pPr>
    <w:rPr>
      <w:rFonts w:ascii="Verdana" w:hAnsi="Verdana"/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C7B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C7B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yperlink" Target="http://www.google.dk/url?sa=i&amp;rct=j&amp;q=&amp;esrc=s&amp;source=images&amp;cd=&amp;cad=rja&amp;uact=8&amp;ved=0ahUKEwiho_GW1NvVAhUCDZoKHZHpCTEQjRwIBw&amp;url=http://www.fotosearch.com/CSP993/k14914965/&amp;psig=AFQjCNFcKrHt9BpeEKLfL0wtCdVMXtSIIQ&amp;ust=150296920294193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hyperlink" Target="https://www.google.dk/url?sa=i&amp;rct=j&amp;q=&amp;esrc=s&amp;source=images&amp;cd=&amp;cad=rja&amp;uact=8&amp;ved=0ahUKEwjJiYnqvtvVAhXkFZoKHctLBRoQjRwIBw&amp;url=https://www.dreamstime.com/stock-image-high-jump-sport-icon-figure-image8110091&amp;psig=AFQjCNGEaYTX29sfAJz4lNtNAlafx22uBQ&amp;ust=1502963841086446" TargetMode="Externa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D090094-486F-45C5-B529-0758008E5AE9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B97B844C-F191-4316-8DBD-6E6604AB3979}">
      <dgm:prSet phldrT="[Tekst]"/>
      <dgm:spPr>
        <a:xfrm>
          <a:off x="905700" y="19081"/>
          <a:ext cx="915924" cy="915924"/>
        </a:xfrm>
        <a:prstGeom prst="ellipse">
          <a:avLst/>
        </a:prstGeom>
        <a:solidFill>
          <a:srgbClr val="569FD3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a-DK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Digitale kompetencer</a:t>
          </a:r>
        </a:p>
      </dgm:t>
    </dgm:pt>
    <dgm:pt modelId="{42E84F30-003B-4E54-930E-7F355FFF2E5A}" type="parTrans" cxnId="{4FB3A5DD-79D9-4EF9-AC54-951F17745AD4}">
      <dgm:prSet/>
      <dgm:spPr/>
      <dgm:t>
        <a:bodyPr/>
        <a:lstStyle/>
        <a:p>
          <a:endParaRPr lang="da-DK"/>
        </a:p>
      </dgm:t>
    </dgm:pt>
    <dgm:pt modelId="{5139F9C8-E584-4E75-A0C4-2B435939570E}" type="sibTrans" cxnId="{4FB3A5DD-79D9-4EF9-AC54-951F17745AD4}">
      <dgm:prSet/>
      <dgm:spPr/>
      <dgm:t>
        <a:bodyPr/>
        <a:lstStyle/>
        <a:p>
          <a:endParaRPr lang="da-DK"/>
        </a:p>
      </dgm:t>
    </dgm:pt>
    <dgm:pt modelId="{A9810C6C-AC56-4AF1-8AE6-C660DE8B827F}">
      <dgm:prSet phldrT="[Tekst]"/>
      <dgm:spPr>
        <a:xfrm>
          <a:off x="1236196" y="591534"/>
          <a:ext cx="915924" cy="915924"/>
        </a:xfrm>
        <a:prstGeom prst="ellipse">
          <a:avLst/>
        </a:prstGeom>
        <a:solidFill>
          <a:srgbClr val="569FD3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a-DK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Opsamling af forbedrings</a:t>
          </a:r>
        </a:p>
        <a:p>
          <a:r>
            <a:rPr lang="da-DK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forslag</a:t>
          </a:r>
        </a:p>
      </dgm:t>
    </dgm:pt>
    <dgm:pt modelId="{DDCAB6C4-3E94-4B21-AC6C-E7D9092D8278}" type="parTrans" cxnId="{845E5022-9CF9-485F-BC4D-8FA8FD497FBA}">
      <dgm:prSet/>
      <dgm:spPr/>
      <dgm:t>
        <a:bodyPr/>
        <a:lstStyle/>
        <a:p>
          <a:endParaRPr lang="da-DK"/>
        </a:p>
      </dgm:t>
    </dgm:pt>
    <dgm:pt modelId="{3BD06499-F6B4-4F64-A2E5-84B39D185D61}" type="sibTrans" cxnId="{845E5022-9CF9-485F-BC4D-8FA8FD497FBA}">
      <dgm:prSet/>
      <dgm:spPr/>
      <dgm:t>
        <a:bodyPr/>
        <a:lstStyle/>
        <a:p>
          <a:endParaRPr lang="da-DK"/>
        </a:p>
      </dgm:t>
    </dgm:pt>
    <dgm:pt modelId="{884DC751-2387-44D2-96F4-6A1045700262}">
      <dgm:prSet phldrT="[Tekst]"/>
      <dgm:spPr>
        <a:xfrm>
          <a:off x="575204" y="591534"/>
          <a:ext cx="915924" cy="915924"/>
        </a:xfrm>
        <a:prstGeom prst="ellipse">
          <a:avLst/>
        </a:prstGeom>
        <a:solidFill>
          <a:srgbClr val="569FD3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da-DK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Optimiering af processer </a:t>
          </a:r>
        </a:p>
      </dgm:t>
    </dgm:pt>
    <dgm:pt modelId="{ADCE569A-52F5-404B-B85E-4FC42764BCC0}" type="parTrans" cxnId="{C83019FB-3733-4BFF-BC43-1B1D3B253BE7}">
      <dgm:prSet/>
      <dgm:spPr/>
      <dgm:t>
        <a:bodyPr/>
        <a:lstStyle/>
        <a:p>
          <a:endParaRPr lang="da-DK"/>
        </a:p>
      </dgm:t>
    </dgm:pt>
    <dgm:pt modelId="{C537DA33-2009-417A-9526-825FD11DD409}" type="sibTrans" cxnId="{C83019FB-3733-4BFF-BC43-1B1D3B253BE7}">
      <dgm:prSet/>
      <dgm:spPr/>
      <dgm:t>
        <a:bodyPr/>
        <a:lstStyle/>
        <a:p>
          <a:endParaRPr lang="da-DK"/>
        </a:p>
      </dgm:t>
    </dgm:pt>
    <dgm:pt modelId="{7794E94D-37B4-475D-B149-FA5A00690A23}" type="pres">
      <dgm:prSet presAssocID="{6D090094-486F-45C5-B529-0758008E5AE9}" presName="compositeShape" presStyleCnt="0">
        <dgm:presLayoutVars>
          <dgm:chMax val="7"/>
          <dgm:dir/>
          <dgm:resizeHandles val="exact"/>
        </dgm:presLayoutVars>
      </dgm:prSet>
      <dgm:spPr/>
    </dgm:pt>
    <dgm:pt modelId="{C631D25F-A6BA-4B52-9CB0-2AA1D271F4D6}" type="pres">
      <dgm:prSet presAssocID="{B97B844C-F191-4316-8DBD-6E6604AB3979}" presName="circ1" presStyleLbl="vennNode1" presStyleIdx="0" presStyleCnt="3"/>
      <dgm:spPr>
        <a:prstGeom prst="ellipse">
          <a:avLst/>
        </a:prstGeom>
      </dgm:spPr>
      <dgm:t>
        <a:bodyPr/>
        <a:lstStyle/>
        <a:p>
          <a:endParaRPr lang="da-DK"/>
        </a:p>
      </dgm:t>
    </dgm:pt>
    <dgm:pt modelId="{200F5A19-C393-43FB-B9E3-C3CF27E99D19}" type="pres">
      <dgm:prSet presAssocID="{B97B844C-F191-4316-8DBD-6E6604AB3979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24201918-89F9-4501-BE70-5A2E6B62C521}" type="pres">
      <dgm:prSet presAssocID="{A9810C6C-AC56-4AF1-8AE6-C660DE8B827F}" presName="circ2" presStyleLbl="vennNode1" presStyleIdx="1" presStyleCnt="3"/>
      <dgm:spPr>
        <a:prstGeom prst="ellipse">
          <a:avLst/>
        </a:prstGeom>
      </dgm:spPr>
      <dgm:t>
        <a:bodyPr/>
        <a:lstStyle/>
        <a:p>
          <a:endParaRPr lang="da-DK"/>
        </a:p>
      </dgm:t>
    </dgm:pt>
    <dgm:pt modelId="{616D7DA1-BF2E-46F3-B0F8-A8ADB9A56F34}" type="pres">
      <dgm:prSet presAssocID="{A9810C6C-AC56-4AF1-8AE6-C660DE8B827F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18914DA9-A88F-438B-B476-D7EBE57882AD}" type="pres">
      <dgm:prSet presAssocID="{884DC751-2387-44D2-96F4-6A1045700262}" presName="circ3" presStyleLbl="vennNode1" presStyleIdx="2" presStyleCnt="3"/>
      <dgm:spPr>
        <a:prstGeom prst="ellipse">
          <a:avLst/>
        </a:prstGeom>
      </dgm:spPr>
      <dgm:t>
        <a:bodyPr/>
        <a:lstStyle/>
        <a:p>
          <a:endParaRPr lang="da-DK"/>
        </a:p>
      </dgm:t>
    </dgm:pt>
    <dgm:pt modelId="{ED4584CA-ACFC-4991-BCBC-4EFA98A0991F}" type="pres">
      <dgm:prSet presAssocID="{884DC751-2387-44D2-96F4-6A1045700262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</dgm:ptLst>
  <dgm:cxnLst>
    <dgm:cxn modelId="{3C822BE3-62F8-4E3D-8071-77E3A90AFD0A}" type="presOf" srcId="{A9810C6C-AC56-4AF1-8AE6-C660DE8B827F}" destId="{616D7DA1-BF2E-46F3-B0F8-A8ADB9A56F34}" srcOrd="1" destOrd="0" presId="urn:microsoft.com/office/officeart/2005/8/layout/venn1"/>
    <dgm:cxn modelId="{845E5022-9CF9-485F-BC4D-8FA8FD497FBA}" srcId="{6D090094-486F-45C5-B529-0758008E5AE9}" destId="{A9810C6C-AC56-4AF1-8AE6-C660DE8B827F}" srcOrd="1" destOrd="0" parTransId="{DDCAB6C4-3E94-4B21-AC6C-E7D9092D8278}" sibTransId="{3BD06499-F6B4-4F64-A2E5-84B39D185D61}"/>
    <dgm:cxn modelId="{E8D01935-C4A3-499C-B9D9-6CB9365B77B2}" type="presOf" srcId="{B97B844C-F191-4316-8DBD-6E6604AB3979}" destId="{200F5A19-C393-43FB-B9E3-C3CF27E99D19}" srcOrd="1" destOrd="0" presId="urn:microsoft.com/office/officeart/2005/8/layout/venn1"/>
    <dgm:cxn modelId="{4FB3A5DD-79D9-4EF9-AC54-951F17745AD4}" srcId="{6D090094-486F-45C5-B529-0758008E5AE9}" destId="{B97B844C-F191-4316-8DBD-6E6604AB3979}" srcOrd="0" destOrd="0" parTransId="{42E84F30-003B-4E54-930E-7F355FFF2E5A}" sibTransId="{5139F9C8-E584-4E75-A0C4-2B435939570E}"/>
    <dgm:cxn modelId="{CAEDB040-6E93-47DD-BC3E-4DC4B739161E}" type="presOf" srcId="{A9810C6C-AC56-4AF1-8AE6-C660DE8B827F}" destId="{24201918-89F9-4501-BE70-5A2E6B62C521}" srcOrd="0" destOrd="0" presId="urn:microsoft.com/office/officeart/2005/8/layout/venn1"/>
    <dgm:cxn modelId="{FEE8A637-0B46-46CE-B548-A16F34ED00D6}" type="presOf" srcId="{884DC751-2387-44D2-96F4-6A1045700262}" destId="{18914DA9-A88F-438B-B476-D7EBE57882AD}" srcOrd="0" destOrd="0" presId="urn:microsoft.com/office/officeart/2005/8/layout/venn1"/>
    <dgm:cxn modelId="{0C95D1AD-97EE-41B5-80D1-5AB750E15C9E}" type="presOf" srcId="{B97B844C-F191-4316-8DBD-6E6604AB3979}" destId="{C631D25F-A6BA-4B52-9CB0-2AA1D271F4D6}" srcOrd="0" destOrd="0" presId="urn:microsoft.com/office/officeart/2005/8/layout/venn1"/>
    <dgm:cxn modelId="{C83019FB-3733-4BFF-BC43-1B1D3B253BE7}" srcId="{6D090094-486F-45C5-B529-0758008E5AE9}" destId="{884DC751-2387-44D2-96F4-6A1045700262}" srcOrd="2" destOrd="0" parTransId="{ADCE569A-52F5-404B-B85E-4FC42764BCC0}" sibTransId="{C537DA33-2009-417A-9526-825FD11DD409}"/>
    <dgm:cxn modelId="{B33B903F-7050-4CE2-828F-0005F7CD7AE0}" type="presOf" srcId="{884DC751-2387-44D2-96F4-6A1045700262}" destId="{ED4584CA-ACFC-4991-BCBC-4EFA98A0991F}" srcOrd="1" destOrd="0" presId="urn:microsoft.com/office/officeart/2005/8/layout/venn1"/>
    <dgm:cxn modelId="{60431D7F-A112-42EC-8D73-71DC1FB1A4BE}" type="presOf" srcId="{6D090094-486F-45C5-B529-0758008E5AE9}" destId="{7794E94D-37B4-475D-B149-FA5A00690A23}" srcOrd="0" destOrd="0" presId="urn:microsoft.com/office/officeart/2005/8/layout/venn1"/>
    <dgm:cxn modelId="{CF6ED74C-36F7-4C1B-9F73-723B1FBB4AE0}" type="presParOf" srcId="{7794E94D-37B4-475D-B149-FA5A00690A23}" destId="{C631D25F-A6BA-4B52-9CB0-2AA1D271F4D6}" srcOrd="0" destOrd="0" presId="urn:microsoft.com/office/officeart/2005/8/layout/venn1"/>
    <dgm:cxn modelId="{13E0EE99-15D7-4D1F-9FAC-8ABF89A8F9E2}" type="presParOf" srcId="{7794E94D-37B4-475D-B149-FA5A00690A23}" destId="{200F5A19-C393-43FB-B9E3-C3CF27E99D19}" srcOrd="1" destOrd="0" presId="urn:microsoft.com/office/officeart/2005/8/layout/venn1"/>
    <dgm:cxn modelId="{659CDCE4-E083-4A26-AB7B-B011544D4A1A}" type="presParOf" srcId="{7794E94D-37B4-475D-B149-FA5A00690A23}" destId="{24201918-89F9-4501-BE70-5A2E6B62C521}" srcOrd="2" destOrd="0" presId="urn:microsoft.com/office/officeart/2005/8/layout/venn1"/>
    <dgm:cxn modelId="{7E4EAD75-CD39-4547-8AC6-985B83E16F20}" type="presParOf" srcId="{7794E94D-37B4-475D-B149-FA5A00690A23}" destId="{616D7DA1-BF2E-46F3-B0F8-A8ADB9A56F34}" srcOrd="3" destOrd="0" presId="urn:microsoft.com/office/officeart/2005/8/layout/venn1"/>
    <dgm:cxn modelId="{899FCAA0-9823-49D0-8A20-287DCBBA565E}" type="presParOf" srcId="{7794E94D-37B4-475D-B149-FA5A00690A23}" destId="{18914DA9-A88F-438B-B476-D7EBE57882AD}" srcOrd="4" destOrd="0" presId="urn:microsoft.com/office/officeart/2005/8/layout/venn1"/>
    <dgm:cxn modelId="{61CB8524-C7FA-4E61-8F0D-53B1C0C29C16}" type="presParOf" srcId="{7794E94D-37B4-475D-B149-FA5A00690A23}" destId="{ED4584CA-ACFC-4991-BCBC-4EFA98A0991F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631D25F-A6BA-4B52-9CB0-2AA1D271F4D6}">
      <dsp:nvSpPr>
        <dsp:cNvPr id="0" name=""/>
        <dsp:cNvSpPr/>
      </dsp:nvSpPr>
      <dsp:spPr>
        <a:xfrm>
          <a:off x="905700" y="19081"/>
          <a:ext cx="915924" cy="915924"/>
        </a:xfrm>
        <a:prstGeom prst="ellipse">
          <a:avLst/>
        </a:prstGeom>
        <a:solidFill>
          <a:srgbClr val="569FD3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Digitale kompetencer</a:t>
          </a:r>
        </a:p>
      </dsp:txBody>
      <dsp:txXfrm>
        <a:off x="1126188" y="239728"/>
        <a:ext cx="474947" cy="291445"/>
      </dsp:txXfrm>
    </dsp:sp>
    <dsp:sp modelId="{24201918-89F9-4501-BE70-5A2E6B62C521}">
      <dsp:nvSpPr>
        <dsp:cNvPr id="0" name=""/>
        <dsp:cNvSpPr/>
      </dsp:nvSpPr>
      <dsp:spPr>
        <a:xfrm>
          <a:off x="1236196" y="591534"/>
          <a:ext cx="915924" cy="915924"/>
        </a:xfrm>
        <a:prstGeom prst="ellipse">
          <a:avLst/>
        </a:prstGeom>
        <a:solidFill>
          <a:srgbClr val="569FD3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Opsamling af forbedrings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forslag</a:t>
          </a:r>
        </a:p>
      </dsp:txBody>
      <dsp:txXfrm>
        <a:off x="1596796" y="901921"/>
        <a:ext cx="388594" cy="356210"/>
      </dsp:txXfrm>
    </dsp:sp>
    <dsp:sp modelId="{18914DA9-A88F-438B-B476-D7EBE57882AD}">
      <dsp:nvSpPr>
        <dsp:cNvPr id="0" name=""/>
        <dsp:cNvSpPr/>
      </dsp:nvSpPr>
      <dsp:spPr>
        <a:xfrm>
          <a:off x="575204" y="591534"/>
          <a:ext cx="915924" cy="915924"/>
        </a:xfrm>
        <a:prstGeom prst="ellipse">
          <a:avLst/>
        </a:prstGeom>
        <a:solidFill>
          <a:srgbClr val="569FD3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Optimiering af processer </a:t>
          </a:r>
        </a:p>
      </dsp:txBody>
      <dsp:txXfrm>
        <a:off x="741934" y="901921"/>
        <a:ext cx="388594" cy="3562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FBK Blå">
  <a:themeElements>
    <a:clrScheme name="Brugerdefineret 4">
      <a:dk1>
        <a:sysClr val="windowText" lastClr="000000"/>
      </a:dk1>
      <a:lt1>
        <a:sysClr val="window" lastClr="FFFFFF"/>
      </a:lt1>
      <a:dk2>
        <a:srgbClr val="00529A"/>
      </a:dk2>
      <a:lt2>
        <a:srgbClr val="E9E9EA"/>
      </a:lt2>
      <a:accent1>
        <a:srgbClr val="569FD3"/>
      </a:accent1>
      <a:accent2>
        <a:srgbClr val="EF3E42"/>
      </a:accent2>
      <a:accent3>
        <a:srgbClr val="8DC63F"/>
      </a:accent3>
      <a:accent4>
        <a:srgbClr val="B5BBD4"/>
      </a:accent4>
      <a:accent5>
        <a:srgbClr val="9AC2B9"/>
      </a:accent5>
      <a:accent6>
        <a:srgbClr val="FED100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lIns="104269" tIns="52135" rIns="104269" bIns="52135" spcCol="0" rtlCol="0" anchor="ctr"/>
      <a:lstStyle>
        <a:defPPr algn="ctr">
          <a:defRPr sz="1800" dirty="0" err="1"/>
        </a:defPPr>
      </a:lstStyle>
      <a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a:style>
    </a:spDef>
    <a:lnDef>
      <a:spPr>
        <a:ln w="28575">
          <a:solidFill>
            <a:schemeClr val="accent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5EDB8203</Template>
  <TotalTime>5</TotalTime>
  <Pages>3</Pages>
  <Words>584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Fredensborg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 Sanne Montell</dc:creator>
  <cp:lastModifiedBy>Kitt Sanne Montell</cp:lastModifiedBy>
  <cp:revision>1</cp:revision>
  <dcterms:created xsi:type="dcterms:W3CDTF">2017-11-16T10:47:00Z</dcterms:created>
  <dcterms:modified xsi:type="dcterms:W3CDTF">2017-11-16T10:52:00Z</dcterms:modified>
</cp:coreProperties>
</file>