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BF" w:rsidRDefault="00130FD5" w:rsidP="004A3CBF">
      <w:pPr>
        <w:pStyle w:val="Overskrift1"/>
      </w:pPr>
      <w:r w:rsidRPr="004A3CBF">
        <w:t>Valg af tilsynskoncept</w:t>
      </w:r>
      <w:r>
        <w:t xml:space="preserve"> – Vurdering: </w:t>
      </w:r>
    </w:p>
    <w:p w:rsidR="004A3CBF" w:rsidRPr="00130FD5" w:rsidRDefault="004A3CBF" w:rsidP="004A3CBF">
      <w:pPr>
        <w:jc w:val="both"/>
        <w:rPr>
          <w:rFonts w:ascii="Calibri" w:hAnsi="Calibri" w:cs="Calibri"/>
          <w:sz w:val="22"/>
          <w:szCs w:val="22"/>
        </w:rPr>
      </w:pPr>
      <w:r w:rsidRPr="00130FD5">
        <w:rPr>
          <w:rFonts w:ascii="Calibri" w:hAnsi="Calibri" w:cs="Calibri"/>
          <w:sz w:val="22"/>
          <w:szCs w:val="22"/>
        </w:rPr>
        <w:t>Sikkerhedsniveauet skal afspejle behandlingens omfang og karakter</w:t>
      </w:r>
      <w:r w:rsidR="00130FD5">
        <w:rPr>
          <w:rFonts w:ascii="Calibri" w:hAnsi="Calibri" w:cs="Calibri"/>
          <w:sz w:val="22"/>
          <w:szCs w:val="22"/>
        </w:rPr>
        <w:t xml:space="preserve">. </w:t>
      </w:r>
      <w:r w:rsidR="00130FD5" w:rsidRPr="00130FD5">
        <w:rPr>
          <w:rFonts w:ascii="Calibri" w:hAnsi="Calibri" w:cs="Calibri"/>
          <w:b/>
          <w:sz w:val="22"/>
          <w:szCs w:val="22"/>
        </w:rPr>
        <w:t>Vurdering skal gemmes sammen med databehandleraftalen.</w:t>
      </w:r>
      <w:r w:rsidR="00130FD5">
        <w:rPr>
          <w:rFonts w:ascii="Calibri" w:hAnsi="Calibri" w:cs="Calibri"/>
          <w:sz w:val="22"/>
          <w:szCs w:val="22"/>
        </w:rPr>
        <w:t xml:space="preserve"> </w:t>
      </w:r>
    </w:p>
    <w:p w:rsidR="004A3CBF" w:rsidRPr="00130FD5" w:rsidRDefault="004A3CBF" w:rsidP="004A3CBF">
      <w:pPr>
        <w:jc w:val="both"/>
        <w:rPr>
          <w:rFonts w:ascii="Calibri" w:hAnsi="Calibri" w:cs="Calibri"/>
          <w:sz w:val="22"/>
          <w:szCs w:val="22"/>
        </w:rPr>
      </w:pPr>
    </w:p>
    <w:p w:rsidR="004A3CBF" w:rsidRPr="00130FD5" w:rsidRDefault="004A3CBF" w:rsidP="004A3CBF">
      <w:pPr>
        <w:jc w:val="both"/>
        <w:rPr>
          <w:rFonts w:eastAsia="Arial" w:cs="Arial"/>
          <w:szCs w:val="19"/>
        </w:rPr>
      </w:pPr>
      <w:bookmarkStart w:id="0" w:name="_Hlk96942261"/>
      <w:r w:rsidRPr="00130FD5">
        <w:rPr>
          <w:rFonts w:eastAsia="Arial" w:cs="Arial"/>
          <w:szCs w:val="19"/>
        </w:rPr>
        <w:t>Behandlingen omfatter følgende antal registrerede:</w:t>
      </w:r>
    </w:p>
    <w:bookmarkEnd w:id="0"/>
    <w:p w:rsidR="004A3CBF" w:rsidRPr="00130FD5" w:rsidRDefault="004A3CBF" w:rsidP="004A3CBF">
      <w:pPr>
        <w:jc w:val="both"/>
        <w:rPr>
          <w:rFonts w:eastAsia="Arial" w:cs="Arial"/>
          <w:szCs w:val="19"/>
        </w:rPr>
      </w:pPr>
      <w:r w:rsidRPr="00130FD5">
        <w:rPr>
          <w:rFonts w:eastAsia="Arial" w:cs="Arial"/>
          <w:szCs w:val="19"/>
        </w:rPr>
        <w:t xml:space="preserve"> </w:t>
      </w:r>
    </w:p>
    <w:p w:rsidR="004A3CBF" w:rsidRPr="00F921EB" w:rsidRDefault="00CA32B9" w:rsidP="004A3CBF">
      <w:pPr>
        <w:spacing w:line="360" w:lineRule="auto"/>
        <w:jc w:val="both"/>
        <w:rPr>
          <w:rFonts w:eastAsia="Arial" w:cs="Arial"/>
          <w:szCs w:val="19"/>
        </w:rPr>
      </w:pPr>
      <w:sdt>
        <w:sdtPr>
          <w:rPr>
            <w:rFonts w:eastAsia="Arial" w:cs="Arial"/>
            <w:szCs w:val="19"/>
          </w:rPr>
          <w:id w:val="-1259665204"/>
          <w14:checkbox>
            <w14:checked w14:val="0"/>
            <w14:checkedState w14:val="2612" w14:font="MS Gothic"/>
            <w14:uncheckedState w14:val="2610" w14:font="MS Gothic"/>
          </w14:checkbox>
        </w:sdtPr>
        <w:sdtEndPr/>
        <w:sdtContent>
          <w:r w:rsidR="00721C9E" w:rsidRPr="00130FD5">
            <w:rPr>
              <w:rFonts w:ascii="Segoe UI Symbol" w:eastAsia="Arial" w:hAnsi="Segoe UI Symbol" w:cs="Segoe UI Symbol"/>
              <w:szCs w:val="19"/>
            </w:rPr>
            <w:t>☐</w:t>
          </w:r>
        </w:sdtContent>
      </w:sdt>
      <w:r w:rsidR="004A3CBF">
        <w:rPr>
          <w:rFonts w:eastAsia="Arial" w:cs="Arial"/>
          <w:szCs w:val="19"/>
        </w:rPr>
        <w:t xml:space="preserve">  </w:t>
      </w:r>
      <w:r w:rsidR="004A3CBF" w:rsidRPr="00F921EB">
        <w:rPr>
          <w:rFonts w:eastAsia="Arial" w:cs="Arial"/>
          <w:szCs w:val="19"/>
        </w:rPr>
        <w:t>1-100</w:t>
      </w:r>
    </w:p>
    <w:p w:rsidR="004A3CBF" w:rsidRPr="00F921EB" w:rsidRDefault="00CA32B9" w:rsidP="004A3CBF">
      <w:pPr>
        <w:spacing w:line="360" w:lineRule="auto"/>
        <w:jc w:val="both"/>
        <w:rPr>
          <w:rFonts w:eastAsia="Arial" w:cs="Arial"/>
          <w:szCs w:val="19"/>
        </w:rPr>
      </w:pPr>
      <w:sdt>
        <w:sdtPr>
          <w:rPr>
            <w:rFonts w:eastAsia="Arial" w:cs="Arial"/>
            <w:szCs w:val="19"/>
          </w:rPr>
          <w:id w:val="95604613"/>
          <w14:checkbox>
            <w14:checked w14:val="0"/>
            <w14:checkedState w14:val="2612" w14:font="MS Gothic"/>
            <w14:uncheckedState w14:val="2610" w14:font="MS Gothic"/>
          </w14:checkbox>
        </w:sdtPr>
        <w:sdtEndPr/>
        <w:sdtContent>
          <w:r w:rsidR="004A3CBF" w:rsidRPr="00130FD5">
            <w:rPr>
              <w:rFonts w:ascii="Segoe UI Symbol" w:eastAsia="Arial" w:hAnsi="Segoe UI Symbol" w:cs="Segoe UI Symbol"/>
              <w:szCs w:val="19"/>
            </w:rPr>
            <w:t>☐</w:t>
          </w:r>
        </w:sdtContent>
      </w:sdt>
      <w:r w:rsidR="004A3CBF">
        <w:rPr>
          <w:rFonts w:eastAsia="Arial" w:cs="Arial"/>
          <w:szCs w:val="19"/>
        </w:rPr>
        <w:t xml:space="preserve">  </w:t>
      </w:r>
      <w:r w:rsidR="004A3CBF" w:rsidRPr="00F921EB">
        <w:rPr>
          <w:rFonts w:eastAsia="Arial" w:cs="Arial"/>
          <w:szCs w:val="19"/>
        </w:rPr>
        <w:t>100-1000</w:t>
      </w:r>
    </w:p>
    <w:p w:rsidR="004A3CBF" w:rsidRPr="00F921EB" w:rsidRDefault="00CA32B9" w:rsidP="004A3CBF">
      <w:pPr>
        <w:spacing w:line="360" w:lineRule="auto"/>
        <w:jc w:val="both"/>
        <w:rPr>
          <w:rFonts w:eastAsia="Arial" w:cs="Arial"/>
          <w:szCs w:val="19"/>
        </w:rPr>
      </w:pPr>
      <w:sdt>
        <w:sdtPr>
          <w:rPr>
            <w:rFonts w:eastAsia="Arial" w:cs="Arial"/>
            <w:szCs w:val="19"/>
          </w:rPr>
          <w:id w:val="1723322739"/>
          <w14:checkbox>
            <w14:checked w14:val="0"/>
            <w14:checkedState w14:val="2612" w14:font="MS Gothic"/>
            <w14:uncheckedState w14:val="2610" w14:font="MS Gothic"/>
          </w14:checkbox>
        </w:sdtPr>
        <w:sdtEndPr/>
        <w:sdtContent>
          <w:r w:rsidR="004A3CBF" w:rsidRPr="00130FD5">
            <w:rPr>
              <w:rFonts w:ascii="Segoe UI Symbol" w:eastAsia="Arial" w:hAnsi="Segoe UI Symbol" w:cs="Segoe UI Symbol"/>
              <w:szCs w:val="19"/>
            </w:rPr>
            <w:t>☐</w:t>
          </w:r>
        </w:sdtContent>
      </w:sdt>
      <w:r w:rsidR="004A3CBF">
        <w:rPr>
          <w:rFonts w:eastAsia="Arial" w:cs="Arial"/>
          <w:szCs w:val="19"/>
        </w:rPr>
        <w:t xml:space="preserve">  </w:t>
      </w:r>
      <w:r w:rsidR="004A3CBF" w:rsidRPr="00F921EB">
        <w:rPr>
          <w:rFonts w:eastAsia="Arial" w:cs="Arial"/>
          <w:szCs w:val="19"/>
        </w:rPr>
        <w:t>1000-</w:t>
      </w:r>
      <w:r w:rsidR="004A3CBF">
        <w:rPr>
          <w:rFonts w:eastAsia="Arial" w:cs="Arial"/>
          <w:szCs w:val="19"/>
        </w:rPr>
        <w:t>5000</w:t>
      </w:r>
    </w:p>
    <w:p w:rsidR="004A3CBF" w:rsidRPr="00F921EB" w:rsidRDefault="00CA32B9" w:rsidP="004A3CBF">
      <w:pPr>
        <w:spacing w:line="360" w:lineRule="auto"/>
        <w:jc w:val="both"/>
        <w:rPr>
          <w:rFonts w:eastAsia="Arial" w:cs="Arial"/>
          <w:szCs w:val="19"/>
        </w:rPr>
      </w:pPr>
      <w:sdt>
        <w:sdtPr>
          <w:rPr>
            <w:rFonts w:eastAsia="Arial" w:cs="Arial"/>
            <w:szCs w:val="19"/>
          </w:rPr>
          <w:id w:val="1417664332"/>
          <w14:checkbox>
            <w14:checked w14:val="0"/>
            <w14:checkedState w14:val="2612" w14:font="MS Gothic"/>
            <w14:uncheckedState w14:val="2610" w14:font="MS Gothic"/>
          </w14:checkbox>
        </w:sdtPr>
        <w:sdtEndPr/>
        <w:sdtContent>
          <w:r w:rsidR="004A3CBF" w:rsidRPr="00130FD5">
            <w:rPr>
              <w:rFonts w:ascii="Segoe UI Symbol" w:eastAsia="Arial" w:hAnsi="Segoe UI Symbol" w:cs="Segoe UI Symbol"/>
              <w:szCs w:val="19"/>
            </w:rPr>
            <w:t>☐</w:t>
          </w:r>
        </w:sdtContent>
      </w:sdt>
      <w:r w:rsidR="004A3CBF">
        <w:rPr>
          <w:rFonts w:eastAsia="Arial" w:cs="Arial"/>
          <w:szCs w:val="19"/>
        </w:rPr>
        <w:t xml:space="preserve">  </w:t>
      </w:r>
      <w:r w:rsidR="004A3CBF" w:rsidRPr="00F921EB">
        <w:rPr>
          <w:rFonts w:eastAsia="Arial" w:cs="Arial"/>
          <w:szCs w:val="19"/>
        </w:rPr>
        <w:t xml:space="preserve">Over </w:t>
      </w:r>
      <w:r w:rsidR="004A3CBF">
        <w:rPr>
          <w:rFonts w:eastAsia="Arial" w:cs="Arial"/>
          <w:szCs w:val="19"/>
        </w:rPr>
        <w:t>5</w:t>
      </w:r>
      <w:bookmarkStart w:id="1" w:name="_GoBack"/>
      <w:bookmarkEnd w:id="1"/>
      <w:r w:rsidR="004A3CBF" w:rsidRPr="00F921EB">
        <w:rPr>
          <w:rFonts w:eastAsia="Arial" w:cs="Arial"/>
          <w:szCs w:val="19"/>
        </w:rPr>
        <w:t>000</w:t>
      </w:r>
    </w:p>
    <w:p w:rsidR="004A3CBF" w:rsidRDefault="004A3CBF" w:rsidP="004A3CBF">
      <w:pPr>
        <w:jc w:val="both"/>
      </w:pPr>
    </w:p>
    <w:p w:rsidR="004A3CBF" w:rsidRDefault="004A3CBF" w:rsidP="004A3CBF">
      <w:pPr>
        <w:jc w:val="both"/>
        <w:rPr>
          <w:rFonts w:eastAsia="Arial" w:cs="Arial"/>
          <w:szCs w:val="19"/>
        </w:rPr>
      </w:pPr>
      <w:r w:rsidRPr="00130FD5">
        <w:rPr>
          <w:rFonts w:ascii="Calibri" w:hAnsi="Calibri" w:cs="Calibri"/>
          <w:sz w:val="22"/>
          <w:szCs w:val="22"/>
        </w:rPr>
        <w:t>Behandlingen omfatter behandling af følgende type personoplysninger:</w:t>
      </w:r>
    </w:p>
    <w:p w:rsidR="004A3CBF" w:rsidRDefault="004A3CBF" w:rsidP="00721C9E">
      <w:pPr>
        <w:spacing w:line="240" w:lineRule="auto"/>
        <w:jc w:val="both"/>
        <w:rPr>
          <w:rFonts w:eastAsia="Arial" w:cs="Arial"/>
          <w:szCs w:val="19"/>
        </w:rPr>
      </w:pPr>
      <w:r w:rsidRPr="311CB850">
        <w:rPr>
          <w:rFonts w:eastAsia="Arial" w:cs="Arial"/>
          <w:szCs w:val="19"/>
        </w:rPr>
        <w:t xml:space="preserve"> </w:t>
      </w:r>
    </w:p>
    <w:p w:rsidR="00721C9E" w:rsidRDefault="00CA32B9" w:rsidP="00721C9E">
      <w:pPr>
        <w:spacing w:line="240" w:lineRule="auto"/>
        <w:jc w:val="both"/>
        <w:rPr>
          <w:rFonts w:eastAsia="Arial" w:cs="Arial"/>
          <w:b/>
          <w:bCs/>
          <w:szCs w:val="19"/>
        </w:rPr>
      </w:pPr>
      <w:sdt>
        <w:sdtPr>
          <w:rPr>
            <w:rFonts w:eastAsia="Arial" w:cs="Arial"/>
            <w:szCs w:val="19"/>
          </w:rPr>
          <w:id w:val="-133792151"/>
          <w14:checkbox>
            <w14:checked w14:val="0"/>
            <w14:checkedState w14:val="2612" w14:font="MS Gothic"/>
            <w14:uncheckedState w14:val="2610" w14:font="MS Gothic"/>
          </w14:checkbox>
        </w:sdtPr>
        <w:sdtEndPr/>
        <w:sdtContent>
          <w:r w:rsidR="004A3CBF">
            <w:rPr>
              <w:rFonts w:ascii="MS Gothic" w:eastAsia="MS Gothic" w:hAnsi="MS Gothic" w:cs="Arial" w:hint="eastAsia"/>
              <w:szCs w:val="19"/>
            </w:rPr>
            <w:t>☐</w:t>
          </w:r>
        </w:sdtContent>
      </w:sdt>
      <w:r w:rsidR="004A3CBF">
        <w:rPr>
          <w:rFonts w:eastAsia="Arial" w:cs="Arial"/>
          <w:szCs w:val="19"/>
        </w:rPr>
        <w:t xml:space="preserve">   </w:t>
      </w:r>
      <w:r w:rsidR="004A3CBF" w:rsidRPr="00DE370F">
        <w:rPr>
          <w:rFonts w:eastAsia="Arial" w:cs="Arial"/>
          <w:b/>
          <w:bCs/>
          <w:szCs w:val="19"/>
        </w:rPr>
        <w:t>Almindelige personoplysninger</w:t>
      </w:r>
    </w:p>
    <w:p w:rsidR="00721C9E" w:rsidRDefault="00721C9E" w:rsidP="00721C9E">
      <w:pPr>
        <w:spacing w:line="240" w:lineRule="auto"/>
        <w:jc w:val="both"/>
        <w:rPr>
          <w:rFonts w:eastAsia="Arial" w:cs="Arial"/>
          <w:b/>
          <w:bCs/>
          <w:szCs w:val="19"/>
        </w:rPr>
      </w:pPr>
    </w:p>
    <w:p w:rsidR="00721C9E" w:rsidRPr="00721C9E" w:rsidRDefault="00CA32B9" w:rsidP="00721C9E">
      <w:pPr>
        <w:spacing w:line="240" w:lineRule="auto"/>
        <w:jc w:val="both"/>
        <w:rPr>
          <w:rFonts w:ascii="Calibri" w:hAnsi="Calibri" w:cs="Calibri"/>
          <w:sz w:val="22"/>
          <w:szCs w:val="22"/>
        </w:rPr>
      </w:pPr>
      <w:sdt>
        <w:sdtPr>
          <w:rPr>
            <w:rFonts w:ascii="MS Gothic" w:eastAsia="MS Gothic" w:hAnsi="MS Gothic" w:cs="Arial"/>
            <w:szCs w:val="19"/>
          </w:rPr>
          <w:id w:val="808134485"/>
          <w14:checkbox>
            <w14:checked w14:val="0"/>
            <w14:checkedState w14:val="2612" w14:font="MS Gothic"/>
            <w14:uncheckedState w14:val="2610" w14:font="MS Gothic"/>
          </w14:checkbox>
        </w:sdtPr>
        <w:sdtEndPr/>
        <w:sdtContent>
          <w:r w:rsidR="004A3CBF" w:rsidRPr="00DE370F">
            <w:rPr>
              <w:rFonts w:ascii="MS Gothic" w:eastAsia="MS Gothic" w:hAnsi="MS Gothic" w:cs="Arial" w:hint="eastAsia"/>
              <w:szCs w:val="19"/>
            </w:rPr>
            <w:t>☐</w:t>
          </w:r>
        </w:sdtContent>
      </w:sdt>
      <w:r w:rsidR="004A3CBF" w:rsidRPr="00DE370F">
        <w:rPr>
          <w:rFonts w:eastAsia="Arial" w:cs="Arial"/>
          <w:szCs w:val="19"/>
        </w:rPr>
        <w:t xml:space="preserve">  </w:t>
      </w:r>
      <w:r w:rsidR="00721C9E" w:rsidRPr="00721C9E">
        <w:rPr>
          <w:rFonts w:ascii="Calibri" w:hAnsi="Calibri" w:cs="Calibri"/>
          <w:b/>
          <w:bCs/>
          <w:sz w:val="22"/>
          <w:szCs w:val="22"/>
        </w:rPr>
        <w:t>Fortrolige oplysninger/</w:t>
      </w:r>
      <w:r w:rsidR="00721C9E">
        <w:rPr>
          <w:rFonts w:eastAsia="Arial" w:cs="Arial"/>
          <w:szCs w:val="19"/>
        </w:rPr>
        <w:t xml:space="preserve"> </w:t>
      </w:r>
      <w:r w:rsidR="00721C9E" w:rsidRPr="00721C9E">
        <w:rPr>
          <w:rFonts w:ascii="Calibri" w:hAnsi="Calibri" w:cs="Calibri"/>
          <w:b/>
          <w:bCs/>
          <w:sz w:val="22"/>
          <w:szCs w:val="22"/>
        </w:rPr>
        <w:t>Andre beskyttelsesværdige oplysninger</w:t>
      </w:r>
      <w:r w:rsidR="00721C9E" w:rsidRPr="00721C9E">
        <w:rPr>
          <w:rFonts w:ascii="Calibri" w:hAnsi="Calibri" w:cs="Calibri"/>
          <w:sz w:val="22"/>
          <w:szCs w:val="22"/>
        </w:rPr>
        <w:t xml:space="preserve"> = oplysninger der efter den almindelige opfattelse i samfundet bør kunne forlanges unddraget offentlighedens kendskab, f.eks. fordi der er en risiko for, at andre vil kigge skævt til en eller risiko for identitetstyveri:</w:t>
      </w:r>
    </w:p>
    <w:p w:rsidR="00721C9E" w:rsidRPr="00721C9E" w:rsidRDefault="00721C9E" w:rsidP="00721C9E">
      <w:pPr>
        <w:numPr>
          <w:ilvl w:val="0"/>
          <w:numId w:val="2"/>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Personnummer</w:t>
      </w:r>
    </w:p>
    <w:p w:rsidR="00721C9E" w:rsidRPr="00721C9E" w:rsidRDefault="00721C9E" w:rsidP="00721C9E">
      <w:pPr>
        <w:numPr>
          <w:ilvl w:val="0"/>
          <w:numId w:val="2"/>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 xml:space="preserve">Eksempler: væsentlige sociale problemer, navne- og adressebeskyttelse, eksamenskarakterer, disciplinære foranstaltninger, personlighedstest, selvmordsforsøg, langtidsledighed, dårlig betaler, modtager af førtidspension. </w:t>
      </w:r>
    </w:p>
    <w:p w:rsidR="004A3CBF" w:rsidRPr="00721C9E" w:rsidRDefault="004A3CBF" w:rsidP="00721C9E">
      <w:pPr>
        <w:spacing w:line="240" w:lineRule="auto"/>
        <w:jc w:val="both"/>
        <w:rPr>
          <w:rFonts w:eastAsia="Arial" w:cs="Arial"/>
          <w:b/>
          <w:bCs/>
          <w:szCs w:val="19"/>
        </w:rPr>
      </w:pPr>
    </w:p>
    <w:p w:rsidR="004A3CBF" w:rsidRDefault="00CA32B9" w:rsidP="00721C9E">
      <w:pPr>
        <w:spacing w:line="240" w:lineRule="auto"/>
        <w:jc w:val="both"/>
        <w:rPr>
          <w:rFonts w:eastAsia="Arial" w:cs="Arial"/>
          <w:b/>
          <w:bCs/>
          <w:szCs w:val="19"/>
        </w:rPr>
      </w:pPr>
      <w:sdt>
        <w:sdtPr>
          <w:rPr>
            <w:rFonts w:eastAsia="Arial" w:cs="Arial"/>
            <w:szCs w:val="19"/>
          </w:rPr>
          <w:id w:val="1226952436"/>
          <w14:checkbox>
            <w14:checked w14:val="0"/>
            <w14:checkedState w14:val="2612" w14:font="MS Gothic"/>
            <w14:uncheckedState w14:val="2610" w14:font="MS Gothic"/>
          </w14:checkbox>
        </w:sdtPr>
        <w:sdtEndPr/>
        <w:sdtContent>
          <w:r w:rsidR="00130FD5">
            <w:rPr>
              <w:rFonts w:ascii="MS Gothic" w:eastAsia="MS Gothic" w:hAnsi="MS Gothic" w:cs="Arial" w:hint="eastAsia"/>
              <w:szCs w:val="19"/>
            </w:rPr>
            <w:t>☐</w:t>
          </w:r>
        </w:sdtContent>
      </w:sdt>
      <w:r w:rsidR="004A3CBF">
        <w:rPr>
          <w:rFonts w:eastAsia="Arial" w:cs="Arial"/>
          <w:szCs w:val="19"/>
        </w:rPr>
        <w:t xml:space="preserve">  </w:t>
      </w:r>
      <w:r w:rsidR="004A3CBF" w:rsidRPr="00DE370F">
        <w:rPr>
          <w:rFonts w:eastAsia="Arial" w:cs="Arial"/>
          <w:b/>
          <w:bCs/>
          <w:szCs w:val="19"/>
        </w:rPr>
        <w:t>Oplysninger om strafbare forhold</w:t>
      </w:r>
    </w:p>
    <w:p w:rsidR="00721C9E" w:rsidRPr="00721C9E" w:rsidRDefault="00721C9E" w:rsidP="00721C9E">
      <w:pPr>
        <w:spacing w:line="240" w:lineRule="auto"/>
        <w:jc w:val="both"/>
        <w:rPr>
          <w:rFonts w:eastAsia="Arial" w:cs="Arial"/>
          <w:b/>
          <w:bCs/>
          <w:szCs w:val="19"/>
        </w:rPr>
      </w:pPr>
    </w:p>
    <w:p w:rsidR="004A3CBF" w:rsidRDefault="00CA32B9" w:rsidP="00721C9E">
      <w:pPr>
        <w:spacing w:line="240" w:lineRule="auto"/>
        <w:jc w:val="both"/>
        <w:rPr>
          <w:rFonts w:eastAsia="Arial" w:cs="Arial"/>
          <w:b/>
          <w:bCs/>
          <w:szCs w:val="19"/>
        </w:rPr>
      </w:pPr>
      <w:sdt>
        <w:sdtPr>
          <w:rPr>
            <w:rFonts w:eastAsia="Arial" w:cs="Arial"/>
            <w:szCs w:val="19"/>
          </w:rPr>
          <w:id w:val="681784307"/>
          <w14:checkbox>
            <w14:checked w14:val="0"/>
            <w14:checkedState w14:val="2612" w14:font="MS Gothic"/>
            <w14:uncheckedState w14:val="2610" w14:font="MS Gothic"/>
          </w14:checkbox>
        </w:sdtPr>
        <w:sdtEndPr/>
        <w:sdtContent>
          <w:r w:rsidR="00EF13BE">
            <w:rPr>
              <w:rFonts w:ascii="MS Gothic" w:eastAsia="MS Gothic" w:hAnsi="MS Gothic" w:cs="Arial" w:hint="eastAsia"/>
              <w:szCs w:val="19"/>
            </w:rPr>
            <w:t>☐</w:t>
          </w:r>
        </w:sdtContent>
      </w:sdt>
      <w:r w:rsidR="004A3CBF">
        <w:rPr>
          <w:rFonts w:eastAsia="Arial" w:cs="Arial"/>
          <w:szCs w:val="19"/>
        </w:rPr>
        <w:t xml:space="preserve">  </w:t>
      </w:r>
      <w:bookmarkStart w:id="2" w:name="_Hlk140657995"/>
      <w:r w:rsidR="004A3CBF" w:rsidRPr="00DE370F">
        <w:rPr>
          <w:rFonts w:eastAsia="Arial" w:cs="Arial"/>
          <w:b/>
          <w:bCs/>
          <w:szCs w:val="19"/>
        </w:rPr>
        <w:t>Følsomme personoplysninger</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Helbredsoplysninger</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Seksuelle forhold eller seksuel orientering</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 xml:space="preserve">Race eller etnisk oprindelse </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 xml:space="preserve">Politisk, religiøs eller filosofisk overbevisning </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Fagforeningsmæssigt tilhørsforhold</w:t>
      </w:r>
    </w:p>
    <w:p w:rsidR="00721C9E" w:rsidRPr="00721C9E" w:rsidRDefault="00721C9E" w:rsidP="00721C9E">
      <w:pPr>
        <w:numPr>
          <w:ilvl w:val="0"/>
          <w:numId w:val="3"/>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Genetiske eller biometriske data</w:t>
      </w:r>
    </w:p>
    <w:bookmarkEnd w:id="2"/>
    <w:p w:rsidR="00721C9E" w:rsidRPr="00721C9E" w:rsidRDefault="00721C9E" w:rsidP="00721C9E">
      <w:pPr>
        <w:spacing w:line="240" w:lineRule="auto"/>
        <w:jc w:val="both"/>
        <w:rPr>
          <w:rFonts w:eastAsia="Arial" w:cs="Arial"/>
          <w:b/>
          <w:bCs/>
          <w:szCs w:val="19"/>
        </w:rPr>
      </w:pPr>
    </w:p>
    <w:p w:rsidR="00721C9E" w:rsidRPr="00721C9E" w:rsidRDefault="00CA32B9" w:rsidP="00721C9E">
      <w:pPr>
        <w:pStyle w:val="NormalWeb"/>
        <w:spacing w:before="0" w:beforeAutospacing="0" w:after="0" w:afterAutospacing="0"/>
        <w:rPr>
          <w:rFonts w:ascii="Calibri" w:hAnsi="Calibri" w:cs="Calibri"/>
          <w:sz w:val="22"/>
          <w:szCs w:val="22"/>
        </w:rPr>
      </w:pPr>
      <w:sdt>
        <w:sdtPr>
          <w:rPr>
            <w:rFonts w:eastAsia="Arial" w:cs="Arial"/>
            <w:szCs w:val="19"/>
          </w:rPr>
          <w:id w:val="534700898"/>
          <w14:checkbox>
            <w14:checked w14:val="0"/>
            <w14:checkedState w14:val="2612" w14:font="MS Gothic"/>
            <w14:uncheckedState w14:val="2610" w14:font="MS Gothic"/>
          </w14:checkbox>
        </w:sdtPr>
        <w:sdtEndPr/>
        <w:sdtContent>
          <w:r w:rsidR="004A3CBF">
            <w:rPr>
              <w:rFonts w:ascii="MS Gothic" w:eastAsia="MS Gothic" w:hAnsi="MS Gothic" w:cs="Arial" w:hint="eastAsia"/>
              <w:szCs w:val="19"/>
            </w:rPr>
            <w:t>☐</w:t>
          </w:r>
        </w:sdtContent>
      </w:sdt>
      <w:r w:rsidR="004A3CBF">
        <w:rPr>
          <w:rFonts w:eastAsia="Arial" w:cs="Arial"/>
          <w:szCs w:val="19"/>
        </w:rPr>
        <w:t xml:space="preserve">  </w:t>
      </w:r>
      <w:bookmarkStart w:id="3" w:name="_Hlk140658101"/>
      <w:r w:rsidR="00721C9E" w:rsidRPr="00721C9E">
        <w:rPr>
          <w:rFonts w:ascii="Calibri" w:hAnsi="Calibri" w:cs="Calibri"/>
          <w:b/>
          <w:bCs/>
          <w:sz w:val="22"/>
          <w:szCs w:val="22"/>
        </w:rPr>
        <w:t>Særlige behandlinger</w:t>
      </w:r>
      <w:r w:rsidR="00721C9E" w:rsidRPr="00721C9E">
        <w:rPr>
          <w:rFonts w:ascii="Calibri" w:hAnsi="Calibri" w:cs="Calibri"/>
          <w:sz w:val="22"/>
          <w:szCs w:val="22"/>
        </w:rPr>
        <w:t xml:space="preserve"> = behandlinger af oplysninger, som går tæt på folks privatliv, hvilket i sig selv kan være indgribende - fokus er på, </w:t>
      </w:r>
      <w:r w:rsidR="00721C9E" w:rsidRPr="00721C9E">
        <w:rPr>
          <w:rFonts w:ascii="Calibri" w:hAnsi="Calibri" w:cs="Calibri"/>
          <w:i/>
          <w:iCs/>
          <w:sz w:val="22"/>
          <w:szCs w:val="22"/>
        </w:rPr>
        <w:t>hvad</w:t>
      </w:r>
      <w:r w:rsidR="00721C9E" w:rsidRPr="00721C9E">
        <w:rPr>
          <w:rFonts w:ascii="Calibri" w:hAnsi="Calibri" w:cs="Calibri"/>
          <w:sz w:val="22"/>
          <w:szCs w:val="22"/>
        </w:rPr>
        <w:t xml:space="preserve"> det bliver gjort med oplysningerne.</w:t>
      </w:r>
    </w:p>
    <w:p w:rsidR="00721C9E" w:rsidRPr="00721C9E" w:rsidRDefault="00721C9E" w:rsidP="00721C9E">
      <w:pPr>
        <w:numPr>
          <w:ilvl w:val="0"/>
          <w:numId w:val="1"/>
        </w:numPr>
        <w:spacing w:line="240" w:lineRule="auto"/>
        <w:ind w:left="540"/>
        <w:textAlignment w:val="center"/>
        <w:rPr>
          <w:rFonts w:ascii="Calibri" w:eastAsia="Times New Roman" w:hAnsi="Calibri" w:cs="Calibri"/>
          <w:sz w:val="22"/>
          <w:szCs w:val="22"/>
          <w:lang w:eastAsia="da-DK"/>
        </w:rPr>
      </w:pPr>
      <w:r w:rsidRPr="00721C9E">
        <w:rPr>
          <w:rFonts w:ascii="Calibri" w:eastAsia="Times New Roman" w:hAnsi="Calibri" w:cs="Calibri"/>
          <w:sz w:val="22"/>
          <w:szCs w:val="22"/>
          <w:lang w:eastAsia="da-DK"/>
        </w:rPr>
        <w:t>Vurder efter bedste evne, om de fleste borgere i Danmark vil synes, at det vil være indgribende behandling af personoplysninger.</w:t>
      </w:r>
    </w:p>
    <w:bookmarkEnd w:id="3"/>
    <w:p w:rsidR="004A3CBF" w:rsidRPr="00DE370F" w:rsidRDefault="004A3CBF" w:rsidP="00721C9E">
      <w:pPr>
        <w:spacing w:line="240" w:lineRule="auto"/>
        <w:jc w:val="both"/>
        <w:rPr>
          <w:rFonts w:eastAsia="Arial" w:cs="Arial"/>
          <w:b/>
          <w:bCs/>
          <w:szCs w:val="19"/>
        </w:rPr>
      </w:pPr>
    </w:p>
    <w:p w:rsidR="00130FD5" w:rsidRPr="00130FD5" w:rsidRDefault="00130FD5" w:rsidP="00130FD5">
      <w:pP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Omfanget af et tilsyn stiger i takt med</w:t>
      </w:r>
      <w:r>
        <w:rPr>
          <w:rFonts w:ascii="Calibri" w:eastAsia="Times New Roman" w:hAnsi="Calibri" w:cs="Calibri"/>
          <w:sz w:val="22"/>
          <w:szCs w:val="22"/>
          <w:lang w:eastAsia="da-DK"/>
        </w:rPr>
        <w:t xml:space="preserve"> (kommer mere hen i gul eller rød kategori)</w:t>
      </w:r>
      <w:r w:rsidRPr="00130FD5">
        <w:rPr>
          <w:rFonts w:ascii="Calibri" w:eastAsia="Times New Roman" w:hAnsi="Calibri" w:cs="Calibri"/>
          <w:sz w:val="22"/>
          <w:szCs w:val="22"/>
          <w:lang w:eastAsia="da-DK"/>
        </w:rPr>
        <w:t xml:space="preserve">: </w:t>
      </w:r>
    </w:p>
    <w:p w:rsidR="00130FD5" w:rsidRP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 xml:space="preserve">At databehandlere behandler flere personoplysninger. </w:t>
      </w:r>
    </w:p>
    <w:p w:rsidR="00130FD5" w:rsidRP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 xml:space="preserve">At oplysninger får en mere fortrolig eller følsom karakter. </w:t>
      </w:r>
    </w:p>
    <w:p w:rsidR="00130FD5" w:rsidRP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 xml:space="preserve">At behandlingen bliver mere indgribende (særlige behandlinger). </w:t>
      </w:r>
    </w:p>
    <w:p w:rsidR="00130FD5" w:rsidRPr="00130FD5" w:rsidRDefault="00130FD5" w:rsidP="00130FD5">
      <w:pPr>
        <w:ind w:left="549"/>
        <w:rPr>
          <w:rFonts w:ascii="Calibri" w:eastAsia="Times New Roman" w:hAnsi="Calibri" w:cs="Calibri"/>
          <w:sz w:val="22"/>
          <w:szCs w:val="22"/>
          <w:lang w:eastAsia="da-DK"/>
        </w:rPr>
      </w:pPr>
    </w:p>
    <w:p w:rsidR="00130FD5" w:rsidRPr="00130FD5" w:rsidRDefault="00130FD5" w:rsidP="00130FD5">
      <w:pP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 xml:space="preserve">Flere personer betyder som oftest større risiko, bl.a. fordi: </w:t>
      </w:r>
    </w:p>
    <w:p w:rsidR="00130FD5" w:rsidRP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Gevinsten for kriminelle er højere (ved f.eks. identitetstyveri), når der er tale om mange personer</w:t>
      </w:r>
    </w:p>
    <w:p w:rsid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t>Det kan være sværere at få ryddet op og overholde slettefrister ved mange data</w:t>
      </w:r>
    </w:p>
    <w:p w:rsidR="00130FD5" w:rsidRPr="00130FD5" w:rsidRDefault="00130FD5" w:rsidP="00130FD5">
      <w:pPr>
        <w:numPr>
          <w:ilvl w:val="0"/>
          <w:numId w:val="3"/>
        </w:numPr>
        <w:spacing w:line="240" w:lineRule="auto"/>
        <w:ind w:left="540"/>
        <w:textAlignment w:val="center"/>
        <w:rPr>
          <w:rFonts w:ascii="Calibri" w:eastAsia="Times New Roman" w:hAnsi="Calibri" w:cs="Calibri"/>
          <w:sz w:val="22"/>
          <w:szCs w:val="22"/>
          <w:lang w:eastAsia="da-DK"/>
        </w:rPr>
      </w:pPr>
      <w:r w:rsidRPr="00130FD5">
        <w:rPr>
          <w:rFonts w:ascii="Calibri" w:eastAsia="Times New Roman" w:hAnsi="Calibri" w:cs="Calibri"/>
          <w:sz w:val="22"/>
          <w:szCs w:val="22"/>
          <w:lang w:eastAsia="da-DK"/>
        </w:rPr>
        <w:lastRenderedPageBreak/>
        <w:t xml:space="preserve">Jo flere personer der behandles oplysninger om, desto flere individuelle forskelligheder vil der være omkring risikoniveauet for den enkelte. (eksempel: Adresse er for de fleste harmløs. Ved adressebeskyttelse er risikoen højere, og jo flere personer jo flere med adressebeskyttelse) </w:t>
      </w:r>
    </w:p>
    <w:p w:rsidR="004A3CBF" w:rsidRDefault="004A3CBF" w:rsidP="00130FD5">
      <w:pPr>
        <w:jc w:val="both"/>
      </w:pPr>
      <w:r w:rsidRPr="00AA080A">
        <w:rPr>
          <w:noProof/>
          <w:color w:val="00B0F0"/>
          <w:lang w:eastAsia="da-DK"/>
        </w:rPr>
        <w:drawing>
          <wp:anchor distT="0" distB="0" distL="114300" distR="114300" simplePos="0" relativeHeight="251659264" behindDoc="0" locked="0" layoutInCell="1" allowOverlap="1" wp14:anchorId="34BB8898" wp14:editId="1973F31B">
            <wp:simplePos x="0" y="0"/>
            <wp:positionH relativeFrom="margin">
              <wp:posOffset>0</wp:posOffset>
            </wp:positionH>
            <wp:positionV relativeFrom="paragraph">
              <wp:posOffset>182880</wp:posOffset>
            </wp:positionV>
            <wp:extent cx="5778500" cy="14478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78500" cy="1447800"/>
                    </a:xfrm>
                    <a:prstGeom prst="rect">
                      <a:avLst/>
                    </a:prstGeom>
                  </pic:spPr>
                </pic:pic>
              </a:graphicData>
            </a:graphic>
            <wp14:sizeRelH relativeFrom="margin">
              <wp14:pctWidth>0</wp14:pctWidth>
            </wp14:sizeRelH>
            <wp14:sizeRelV relativeFrom="margin">
              <wp14:pctHeight>0</wp14:pctHeight>
            </wp14:sizeRelV>
          </wp:anchor>
        </w:drawing>
      </w:r>
    </w:p>
    <w:p w:rsidR="004A3CBF" w:rsidRDefault="004A3CBF" w:rsidP="004A3CBF">
      <w:pPr>
        <w:jc w:val="both"/>
      </w:pPr>
    </w:p>
    <w:p w:rsidR="004A3CBF" w:rsidRDefault="004A3CBF" w:rsidP="004A3CBF">
      <w:pPr>
        <w:jc w:val="both"/>
        <w:rPr>
          <w:rFonts w:eastAsia="Arial" w:cs="Arial"/>
          <w:szCs w:val="19"/>
        </w:rPr>
      </w:pPr>
    </w:p>
    <w:p w:rsidR="004A3CBF" w:rsidRDefault="004A3CBF" w:rsidP="004A3CBF">
      <w:pPr>
        <w:jc w:val="both"/>
        <w:rPr>
          <w:rFonts w:eastAsia="Arial" w:cs="Arial"/>
          <w:szCs w:val="19"/>
        </w:rPr>
      </w:pPr>
      <w:r w:rsidRPr="311CB850">
        <w:rPr>
          <w:rFonts w:eastAsia="Arial" w:cs="Arial"/>
          <w:szCs w:val="19"/>
        </w:rPr>
        <w:t>På baggrund af ovenstående beskrivelse af behandlingens omfang og karakter etableres et</w:t>
      </w:r>
      <w:r>
        <w:rPr>
          <w:rFonts w:eastAsia="Arial" w:cs="Arial"/>
          <w:szCs w:val="19"/>
        </w:rPr>
        <w:t xml:space="preserve"> af flg. </w:t>
      </w:r>
      <w:r w:rsidRPr="311CB850">
        <w:rPr>
          <w:rFonts w:eastAsia="Arial" w:cs="Arial"/>
          <w:szCs w:val="19"/>
        </w:rPr>
        <w:t>sikkerhedsniveau</w:t>
      </w:r>
      <w:r>
        <w:rPr>
          <w:rFonts w:eastAsia="Arial" w:cs="Arial"/>
          <w:szCs w:val="19"/>
        </w:rPr>
        <w:t>:</w:t>
      </w:r>
    </w:p>
    <w:p w:rsidR="004A3CBF" w:rsidRDefault="004A3CBF" w:rsidP="004A3CBF">
      <w:pPr>
        <w:jc w:val="both"/>
        <w:rPr>
          <w:rFonts w:eastAsia="Arial" w:cs="Arial"/>
          <w:szCs w:val="19"/>
        </w:rPr>
      </w:pPr>
    </w:p>
    <w:tbl>
      <w:tblPr>
        <w:tblStyle w:val="Tabel-Gitter"/>
        <w:tblW w:w="4989" w:type="pct"/>
        <w:tblLook w:val="04A0" w:firstRow="1" w:lastRow="0" w:firstColumn="1" w:lastColumn="0" w:noHBand="0" w:noVBand="1"/>
      </w:tblPr>
      <w:tblGrid>
        <w:gridCol w:w="3143"/>
        <w:gridCol w:w="3576"/>
        <w:gridCol w:w="2888"/>
      </w:tblGrid>
      <w:tr w:rsidR="004A3CBF" w:rsidTr="004A3CBF">
        <w:tc>
          <w:tcPr>
            <w:tcW w:w="1636" w:type="pct"/>
            <w:vAlign w:val="center"/>
          </w:tcPr>
          <w:p w:rsidR="004A3CBF" w:rsidRPr="00BE7106" w:rsidRDefault="004A3CBF" w:rsidP="008A287B">
            <w:pPr>
              <w:jc w:val="center"/>
              <w:rPr>
                <w:rFonts w:eastAsia="Arial" w:cs="Arial"/>
                <w:sz w:val="28"/>
                <w:szCs w:val="32"/>
              </w:rPr>
            </w:pPr>
            <w:bookmarkStart w:id="4" w:name="_Hlk96942579"/>
            <w:r w:rsidRPr="00BE7106">
              <w:rPr>
                <w:rFonts w:cstheme="minorHAnsi"/>
                <w:b/>
                <w:bCs/>
                <w:sz w:val="28"/>
                <w:szCs w:val="32"/>
              </w:rPr>
              <w:t>Lavt</w:t>
            </w:r>
          </w:p>
        </w:tc>
        <w:tc>
          <w:tcPr>
            <w:tcW w:w="1861" w:type="pct"/>
            <w:vAlign w:val="center"/>
          </w:tcPr>
          <w:p w:rsidR="004A3CBF" w:rsidRPr="00BE7106" w:rsidRDefault="004A3CBF" w:rsidP="008A287B">
            <w:pPr>
              <w:jc w:val="center"/>
              <w:rPr>
                <w:rFonts w:eastAsia="Arial" w:cs="Arial"/>
                <w:sz w:val="28"/>
                <w:szCs w:val="32"/>
              </w:rPr>
            </w:pPr>
            <w:r w:rsidRPr="00BE7106">
              <w:rPr>
                <w:rFonts w:cstheme="minorHAnsi"/>
                <w:b/>
                <w:bCs/>
                <w:sz w:val="28"/>
                <w:szCs w:val="32"/>
              </w:rPr>
              <w:t>Middelhøjt</w:t>
            </w:r>
          </w:p>
        </w:tc>
        <w:tc>
          <w:tcPr>
            <w:tcW w:w="1503" w:type="pct"/>
            <w:vAlign w:val="center"/>
          </w:tcPr>
          <w:p w:rsidR="004A3CBF" w:rsidRPr="00BE7106" w:rsidRDefault="004A3CBF" w:rsidP="008A287B">
            <w:pPr>
              <w:jc w:val="center"/>
              <w:rPr>
                <w:rFonts w:eastAsia="Arial" w:cs="Arial"/>
                <w:sz w:val="28"/>
                <w:szCs w:val="32"/>
              </w:rPr>
            </w:pPr>
            <w:r w:rsidRPr="00BE7106">
              <w:rPr>
                <w:rFonts w:cstheme="minorHAnsi"/>
                <w:b/>
                <w:bCs/>
                <w:sz w:val="28"/>
                <w:szCs w:val="32"/>
              </w:rPr>
              <w:t>Højt</w:t>
            </w:r>
          </w:p>
        </w:tc>
      </w:tr>
      <w:tr w:rsidR="004A3CBF" w:rsidTr="004A3CBF">
        <w:trPr>
          <w:trHeight w:val="165"/>
        </w:trPr>
        <w:tc>
          <w:tcPr>
            <w:tcW w:w="1636" w:type="pct"/>
            <w:shd w:val="clear" w:color="auto" w:fill="00B050"/>
            <w:vAlign w:val="center"/>
          </w:tcPr>
          <w:p w:rsidR="004A3CBF" w:rsidRPr="00955C0C" w:rsidRDefault="004A3CBF" w:rsidP="008A287B">
            <w:pPr>
              <w:jc w:val="center"/>
              <w:rPr>
                <w:rFonts w:cstheme="minorHAnsi"/>
                <w:b/>
                <w:bCs/>
              </w:rPr>
            </w:pPr>
            <w:r>
              <w:rPr>
                <w:rFonts w:cstheme="minorHAnsi"/>
                <w:b/>
                <w:bCs/>
              </w:rPr>
              <w:t>Grøn</w:t>
            </w:r>
          </w:p>
        </w:tc>
        <w:tc>
          <w:tcPr>
            <w:tcW w:w="1861" w:type="pct"/>
            <w:shd w:val="clear" w:color="auto" w:fill="FFFF00"/>
            <w:vAlign w:val="center"/>
          </w:tcPr>
          <w:p w:rsidR="004A3CBF" w:rsidRDefault="004A3CBF" w:rsidP="008A287B">
            <w:pPr>
              <w:jc w:val="center"/>
              <w:rPr>
                <w:rFonts w:cstheme="minorHAnsi"/>
                <w:b/>
                <w:bCs/>
              </w:rPr>
            </w:pPr>
            <w:r>
              <w:rPr>
                <w:rFonts w:cstheme="minorHAnsi"/>
                <w:b/>
                <w:bCs/>
              </w:rPr>
              <w:t>Gul</w:t>
            </w:r>
          </w:p>
        </w:tc>
        <w:tc>
          <w:tcPr>
            <w:tcW w:w="1503" w:type="pct"/>
            <w:shd w:val="clear" w:color="auto" w:fill="FF0000"/>
            <w:vAlign w:val="center"/>
          </w:tcPr>
          <w:p w:rsidR="004A3CBF" w:rsidRDefault="004A3CBF" w:rsidP="008A287B">
            <w:pPr>
              <w:jc w:val="center"/>
              <w:rPr>
                <w:rFonts w:cstheme="minorHAnsi"/>
                <w:b/>
                <w:bCs/>
              </w:rPr>
            </w:pPr>
            <w:r w:rsidRPr="00BE7106">
              <w:rPr>
                <w:rFonts w:cstheme="minorHAnsi"/>
                <w:b/>
                <w:bCs/>
                <w:color w:val="FFFFFF" w:themeColor="background1"/>
              </w:rPr>
              <w:t>Rød</w:t>
            </w:r>
          </w:p>
        </w:tc>
      </w:tr>
      <w:tr w:rsidR="004A3CBF" w:rsidTr="004A3CBF">
        <w:sdt>
          <w:sdtPr>
            <w:rPr>
              <w:rFonts w:eastAsia="Arial" w:cs="Arial"/>
              <w:szCs w:val="19"/>
            </w:rPr>
            <w:id w:val="16357855"/>
            <w14:checkbox>
              <w14:checked w14:val="0"/>
              <w14:checkedState w14:val="2612" w14:font="MS Gothic"/>
              <w14:uncheckedState w14:val="2610" w14:font="MS Gothic"/>
            </w14:checkbox>
          </w:sdtPr>
          <w:sdtEndPr/>
          <w:sdtContent>
            <w:tc>
              <w:tcPr>
                <w:tcW w:w="1636" w:type="pct"/>
                <w:vAlign w:val="center"/>
              </w:tcPr>
              <w:p w:rsidR="004A3CBF" w:rsidRDefault="004A3CBF" w:rsidP="008A287B">
                <w:pPr>
                  <w:jc w:val="center"/>
                  <w:rPr>
                    <w:rFonts w:eastAsia="Arial" w:cs="Arial"/>
                    <w:szCs w:val="19"/>
                  </w:rPr>
                </w:pPr>
                <w:r>
                  <w:rPr>
                    <w:rFonts w:ascii="MS Gothic" w:eastAsia="MS Gothic" w:hAnsi="MS Gothic" w:cs="Arial" w:hint="eastAsia"/>
                    <w:szCs w:val="19"/>
                  </w:rPr>
                  <w:t>☐</w:t>
                </w:r>
              </w:p>
            </w:tc>
          </w:sdtContent>
        </w:sdt>
        <w:sdt>
          <w:sdtPr>
            <w:rPr>
              <w:rFonts w:eastAsia="Arial" w:cs="Arial"/>
              <w:szCs w:val="19"/>
            </w:rPr>
            <w:id w:val="1659270634"/>
            <w14:checkbox>
              <w14:checked w14:val="0"/>
              <w14:checkedState w14:val="2612" w14:font="MS Gothic"/>
              <w14:uncheckedState w14:val="2610" w14:font="MS Gothic"/>
            </w14:checkbox>
          </w:sdtPr>
          <w:sdtEndPr/>
          <w:sdtContent>
            <w:tc>
              <w:tcPr>
                <w:tcW w:w="1861" w:type="pct"/>
                <w:vAlign w:val="center"/>
              </w:tcPr>
              <w:p w:rsidR="004A3CBF" w:rsidRDefault="004A3CBF" w:rsidP="008A287B">
                <w:pPr>
                  <w:jc w:val="center"/>
                  <w:rPr>
                    <w:rFonts w:eastAsia="Arial" w:cs="Arial"/>
                    <w:szCs w:val="19"/>
                  </w:rPr>
                </w:pPr>
                <w:r>
                  <w:rPr>
                    <w:rFonts w:ascii="MS Gothic" w:eastAsia="MS Gothic" w:hAnsi="MS Gothic" w:cs="Arial" w:hint="eastAsia"/>
                    <w:szCs w:val="19"/>
                  </w:rPr>
                  <w:t>☐</w:t>
                </w:r>
              </w:p>
            </w:tc>
          </w:sdtContent>
        </w:sdt>
        <w:sdt>
          <w:sdtPr>
            <w:rPr>
              <w:rFonts w:eastAsia="Arial" w:cs="Arial"/>
              <w:szCs w:val="19"/>
            </w:rPr>
            <w:id w:val="1778216172"/>
            <w14:checkbox>
              <w14:checked w14:val="0"/>
              <w14:checkedState w14:val="2612" w14:font="MS Gothic"/>
              <w14:uncheckedState w14:val="2610" w14:font="MS Gothic"/>
            </w14:checkbox>
          </w:sdtPr>
          <w:sdtEndPr/>
          <w:sdtContent>
            <w:tc>
              <w:tcPr>
                <w:tcW w:w="1503" w:type="pct"/>
                <w:vAlign w:val="center"/>
              </w:tcPr>
              <w:p w:rsidR="004A3CBF" w:rsidRDefault="004A3CBF" w:rsidP="008A287B">
                <w:pPr>
                  <w:jc w:val="center"/>
                  <w:rPr>
                    <w:rFonts w:eastAsia="Arial" w:cs="Arial"/>
                    <w:szCs w:val="19"/>
                  </w:rPr>
                </w:pPr>
                <w:r>
                  <w:rPr>
                    <w:rFonts w:ascii="MS Gothic" w:eastAsia="MS Gothic" w:hAnsi="MS Gothic" w:cs="Arial" w:hint="eastAsia"/>
                    <w:szCs w:val="19"/>
                  </w:rPr>
                  <w:t>☐</w:t>
                </w:r>
              </w:p>
            </w:tc>
          </w:sdtContent>
        </w:sdt>
      </w:tr>
      <w:bookmarkEnd w:id="4"/>
    </w:tbl>
    <w:p w:rsidR="004A3CBF" w:rsidRDefault="004A3CBF" w:rsidP="004A3CBF">
      <w:pPr>
        <w:jc w:val="both"/>
        <w:rPr>
          <w:rFonts w:cs="Arial"/>
          <w:szCs w:val="19"/>
        </w:rPr>
      </w:pPr>
    </w:p>
    <w:p w:rsidR="004A3CBF" w:rsidRDefault="004A3CBF" w:rsidP="004A3CBF">
      <w:pPr>
        <w:jc w:val="both"/>
        <w:rPr>
          <w:rFonts w:cs="Arial"/>
          <w:szCs w:val="19"/>
        </w:rPr>
      </w:pPr>
    </w:p>
    <w:tbl>
      <w:tblPr>
        <w:tblStyle w:val="Tabel-Gitter"/>
        <w:tblW w:w="9639" w:type="dxa"/>
        <w:tblInd w:w="-5" w:type="dxa"/>
        <w:tblLook w:val="04A0" w:firstRow="1" w:lastRow="0" w:firstColumn="1" w:lastColumn="0" w:noHBand="0" w:noVBand="1"/>
      </w:tblPr>
      <w:tblGrid>
        <w:gridCol w:w="3119"/>
        <w:gridCol w:w="3544"/>
        <w:gridCol w:w="2976"/>
      </w:tblGrid>
      <w:tr w:rsidR="004A3CBF" w:rsidTr="004A3CBF">
        <w:tc>
          <w:tcPr>
            <w:tcW w:w="3119" w:type="dxa"/>
          </w:tcPr>
          <w:p w:rsidR="004A3CBF" w:rsidRDefault="004A3CBF" w:rsidP="008A287B">
            <w:pPr>
              <w:jc w:val="both"/>
              <w:rPr>
                <w:rFonts w:eastAsia="Arial" w:cs="Arial"/>
                <w:szCs w:val="19"/>
              </w:rPr>
            </w:pPr>
            <w:r w:rsidRPr="00020634">
              <w:rPr>
                <w:rFonts w:cstheme="minorHAnsi"/>
                <w:b/>
                <w:bCs/>
                <w:color w:val="00B050"/>
              </w:rPr>
              <w:t>GRØN</w:t>
            </w:r>
          </w:p>
        </w:tc>
        <w:tc>
          <w:tcPr>
            <w:tcW w:w="3544" w:type="dxa"/>
          </w:tcPr>
          <w:p w:rsidR="004A3CBF" w:rsidRDefault="004A3CBF" w:rsidP="008A287B">
            <w:pPr>
              <w:jc w:val="both"/>
              <w:rPr>
                <w:rFonts w:eastAsia="Arial" w:cs="Arial"/>
                <w:szCs w:val="19"/>
              </w:rPr>
            </w:pPr>
            <w:r>
              <w:rPr>
                <w:rFonts w:cstheme="minorHAnsi"/>
                <w:b/>
                <w:bCs/>
                <w:color w:val="FFC100"/>
              </w:rPr>
              <w:t>GUL</w:t>
            </w:r>
          </w:p>
        </w:tc>
        <w:tc>
          <w:tcPr>
            <w:tcW w:w="2976" w:type="dxa"/>
          </w:tcPr>
          <w:p w:rsidR="004A3CBF" w:rsidRDefault="004A3CBF" w:rsidP="008A287B">
            <w:pPr>
              <w:jc w:val="both"/>
              <w:rPr>
                <w:rFonts w:eastAsia="Arial" w:cs="Arial"/>
                <w:szCs w:val="19"/>
              </w:rPr>
            </w:pPr>
            <w:r>
              <w:rPr>
                <w:rFonts w:cstheme="minorHAnsi"/>
                <w:b/>
                <w:bCs/>
                <w:color w:val="FF0033"/>
              </w:rPr>
              <w:t>RØD</w:t>
            </w:r>
          </w:p>
        </w:tc>
      </w:tr>
      <w:tr w:rsidR="004A3CBF" w:rsidTr="004A3CBF">
        <w:tc>
          <w:tcPr>
            <w:tcW w:w="3119" w:type="dxa"/>
          </w:tcPr>
          <w:p w:rsidR="004A3CBF" w:rsidRDefault="004A3CBF" w:rsidP="008A287B">
            <w:pPr>
              <w:jc w:val="both"/>
              <w:rPr>
                <w:rFonts w:eastAsia="Arial" w:cs="Arial"/>
                <w:szCs w:val="19"/>
              </w:rPr>
            </w:pPr>
            <w:r w:rsidRPr="0080216D">
              <w:rPr>
                <w:rFonts w:eastAsia="Arial" w:cs="Arial"/>
                <w:szCs w:val="19"/>
              </w:rPr>
              <w:t>Almindelige personoplysninger &amp; Interne informationer</w:t>
            </w:r>
          </w:p>
        </w:tc>
        <w:tc>
          <w:tcPr>
            <w:tcW w:w="3544" w:type="dxa"/>
          </w:tcPr>
          <w:p w:rsidR="004A3CBF" w:rsidRDefault="004A3CBF" w:rsidP="008A287B">
            <w:pPr>
              <w:jc w:val="both"/>
              <w:rPr>
                <w:rFonts w:eastAsia="Arial" w:cs="Arial"/>
                <w:szCs w:val="19"/>
              </w:rPr>
            </w:pPr>
            <w:r>
              <w:rPr>
                <w:rFonts w:cstheme="minorHAnsi"/>
                <w:color w:val="000000"/>
                <w:sz w:val="18"/>
                <w:szCs w:val="18"/>
              </w:rPr>
              <w:t>Fortrolige personoplysninger &amp; Fortrolige informationer</w:t>
            </w:r>
          </w:p>
        </w:tc>
        <w:tc>
          <w:tcPr>
            <w:tcW w:w="2976" w:type="dxa"/>
          </w:tcPr>
          <w:p w:rsidR="004A3CBF" w:rsidRDefault="004A3CBF" w:rsidP="008A287B">
            <w:pPr>
              <w:jc w:val="both"/>
              <w:rPr>
                <w:rFonts w:eastAsia="Arial" w:cs="Arial"/>
                <w:szCs w:val="19"/>
              </w:rPr>
            </w:pPr>
            <w:r>
              <w:rPr>
                <w:rFonts w:cstheme="minorHAnsi"/>
                <w:color w:val="000000"/>
                <w:sz w:val="18"/>
                <w:szCs w:val="18"/>
              </w:rPr>
              <w:t>Følsomme personoplysninger</w:t>
            </w:r>
          </w:p>
        </w:tc>
      </w:tr>
      <w:tr w:rsidR="004A3CBF" w:rsidTr="004A3CBF">
        <w:tc>
          <w:tcPr>
            <w:tcW w:w="3119" w:type="dxa"/>
          </w:tcPr>
          <w:p w:rsidR="004A3CBF" w:rsidRPr="0080216D" w:rsidRDefault="004A3CBF" w:rsidP="008A287B">
            <w:pPr>
              <w:jc w:val="both"/>
              <w:rPr>
                <w:rFonts w:eastAsia="Arial" w:cs="Arial"/>
                <w:szCs w:val="19"/>
              </w:rPr>
            </w:pPr>
            <w:r w:rsidRPr="311CB850">
              <w:rPr>
                <w:rFonts w:eastAsia="Arial" w:cs="Arial"/>
                <w:szCs w:val="19"/>
              </w:rPr>
              <w:t>Lavt sikkerhedsniveau</w:t>
            </w:r>
          </w:p>
        </w:tc>
        <w:tc>
          <w:tcPr>
            <w:tcW w:w="3544" w:type="dxa"/>
          </w:tcPr>
          <w:p w:rsidR="004A3CBF" w:rsidRPr="0080216D" w:rsidRDefault="004A3CBF" w:rsidP="008A287B">
            <w:pPr>
              <w:jc w:val="both"/>
              <w:rPr>
                <w:rFonts w:eastAsia="Arial" w:cs="Arial"/>
                <w:szCs w:val="19"/>
              </w:rPr>
            </w:pPr>
            <w:r w:rsidRPr="311CB850">
              <w:rPr>
                <w:rFonts w:eastAsia="Arial" w:cs="Arial"/>
                <w:szCs w:val="19"/>
              </w:rPr>
              <w:t>Middelhøjt sikkerhedsniveau</w:t>
            </w:r>
          </w:p>
        </w:tc>
        <w:tc>
          <w:tcPr>
            <w:tcW w:w="2976" w:type="dxa"/>
          </w:tcPr>
          <w:p w:rsidR="004A3CBF" w:rsidRDefault="004A3CBF" w:rsidP="008A287B">
            <w:pPr>
              <w:jc w:val="both"/>
              <w:rPr>
                <w:rFonts w:cstheme="minorHAnsi"/>
                <w:color w:val="000000"/>
                <w:sz w:val="18"/>
                <w:szCs w:val="18"/>
              </w:rPr>
            </w:pPr>
            <w:r w:rsidRPr="311CB850">
              <w:rPr>
                <w:rFonts w:eastAsia="Arial" w:cs="Arial"/>
                <w:szCs w:val="19"/>
              </w:rPr>
              <w:t>Højt sikkerhedsniveau</w:t>
            </w:r>
          </w:p>
        </w:tc>
      </w:tr>
      <w:tr w:rsidR="004A3CBF" w:rsidTr="004A3CBF">
        <w:tc>
          <w:tcPr>
            <w:tcW w:w="3119" w:type="dxa"/>
          </w:tcPr>
          <w:p w:rsidR="004A3CBF" w:rsidRPr="311CB850" w:rsidRDefault="004A3CBF" w:rsidP="008A287B">
            <w:pPr>
              <w:jc w:val="both"/>
              <w:rPr>
                <w:rFonts w:eastAsia="Arial" w:cs="Arial"/>
                <w:szCs w:val="19"/>
              </w:rPr>
            </w:pPr>
          </w:p>
        </w:tc>
        <w:tc>
          <w:tcPr>
            <w:tcW w:w="3544" w:type="dxa"/>
          </w:tcPr>
          <w:p w:rsidR="004A3CBF" w:rsidRPr="311CB850" w:rsidRDefault="004A3CBF" w:rsidP="008A287B">
            <w:pPr>
              <w:jc w:val="both"/>
              <w:rPr>
                <w:rFonts w:eastAsia="Arial" w:cs="Arial"/>
                <w:szCs w:val="19"/>
              </w:rPr>
            </w:pPr>
          </w:p>
        </w:tc>
        <w:tc>
          <w:tcPr>
            <w:tcW w:w="2976" w:type="dxa"/>
          </w:tcPr>
          <w:p w:rsidR="004A3CBF" w:rsidRPr="311CB850" w:rsidRDefault="004A3CBF" w:rsidP="008A287B">
            <w:pPr>
              <w:jc w:val="both"/>
              <w:rPr>
                <w:rFonts w:eastAsia="Arial" w:cs="Arial"/>
                <w:szCs w:val="19"/>
              </w:rPr>
            </w:pPr>
          </w:p>
        </w:tc>
      </w:tr>
      <w:tr w:rsidR="004A3CBF" w:rsidTr="004A3CBF">
        <w:tc>
          <w:tcPr>
            <w:tcW w:w="3119" w:type="dxa"/>
          </w:tcPr>
          <w:p w:rsidR="004A3CBF" w:rsidRPr="311CB850" w:rsidRDefault="004A3CBF" w:rsidP="008A287B">
            <w:pPr>
              <w:jc w:val="both"/>
              <w:rPr>
                <w:rFonts w:cstheme="minorBidi"/>
                <w:color w:val="000000" w:themeColor="text1"/>
                <w:sz w:val="18"/>
                <w:szCs w:val="18"/>
              </w:rPr>
            </w:pPr>
            <w:r>
              <w:rPr>
                <w:rFonts w:eastAsia="Arial" w:cs="Arial"/>
                <w:szCs w:val="19"/>
              </w:rPr>
              <w:t>ISO27001 / ISO27002</w:t>
            </w:r>
          </w:p>
        </w:tc>
        <w:tc>
          <w:tcPr>
            <w:tcW w:w="3544" w:type="dxa"/>
          </w:tcPr>
          <w:p w:rsidR="004A3CBF" w:rsidRPr="311CB850" w:rsidRDefault="004A3CBF" w:rsidP="008A287B">
            <w:pPr>
              <w:jc w:val="both"/>
              <w:rPr>
                <w:rFonts w:eastAsia="Arial" w:cs="Arial"/>
                <w:szCs w:val="19"/>
              </w:rPr>
            </w:pPr>
            <w:r>
              <w:rPr>
                <w:rFonts w:eastAsia="Arial" w:cs="Arial"/>
                <w:szCs w:val="19"/>
              </w:rPr>
              <w:t>ISO27001 / ISO27002</w:t>
            </w:r>
          </w:p>
        </w:tc>
        <w:tc>
          <w:tcPr>
            <w:tcW w:w="2976" w:type="dxa"/>
          </w:tcPr>
          <w:p w:rsidR="004A3CBF" w:rsidRPr="311CB850" w:rsidRDefault="004A3CBF" w:rsidP="008A287B">
            <w:pPr>
              <w:jc w:val="both"/>
              <w:rPr>
                <w:rFonts w:eastAsia="Arial" w:cs="Arial"/>
                <w:szCs w:val="19"/>
              </w:rPr>
            </w:pPr>
            <w:r>
              <w:rPr>
                <w:rFonts w:eastAsia="Arial" w:cs="Arial"/>
                <w:szCs w:val="19"/>
              </w:rPr>
              <w:t>ISO27001 / ISO27002</w:t>
            </w:r>
          </w:p>
        </w:tc>
      </w:tr>
    </w:tbl>
    <w:p w:rsidR="004A3CBF" w:rsidRDefault="004A3CBF" w:rsidP="004A3CBF">
      <w:pPr>
        <w:jc w:val="both"/>
        <w:rPr>
          <w:rFonts w:cs="Arial"/>
          <w:szCs w:val="19"/>
        </w:rPr>
      </w:pPr>
    </w:p>
    <w:p w:rsidR="00721C9E" w:rsidRDefault="00721C9E">
      <w:pPr>
        <w:spacing w:after="160" w:line="259" w:lineRule="auto"/>
        <w:rPr>
          <w:rFonts w:asciiTheme="majorHAnsi" w:eastAsiaTheme="majorEastAsia" w:hAnsiTheme="majorHAnsi" w:cstheme="majorBidi"/>
          <w:color w:val="2F5496" w:themeColor="accent1" w:themeShade="BF"/>
          <w:sz w:val="32"/>
          <w:szCs w:val="32"/>
        </w:rPr>
      </w:pPr>
      <w:r>
        <w:br w:type="page"/>
      </w:r>
    </w:p>
    <w:p w:rsidR="004A3CBF" w:rsidRDefault="004A3CBF" w:rsidP="00721C9E">
      <w:pPr>
        <w:pStyle w:val="Overskrift1"/>
      </w:pPr>
      <w:r w:rsidRPr="004A3CBF">
        <w:lastRenderedPageBreak/>
        <w:t>Valg af tilsynskoncept</w:t>
      </w:r>
      <w:r w:rsidR="00130FD5">
        <w:t xml:space="preserve"> – Tilsynskoncepter </w:t>
      </w:r>
    </w:p>
    <w:p w:rsidR="00721C9E" w:rsidRDefault="00721C9E" w:rsidP="00721C9E">
      <w:r>
        <w:t xml:space="preserve">Valg af tilsynskoncept tager udgangspunkt i </w:t>
      </w:r>
      <w:r w:rsidR="00130FD5">
        <w:t>vurderingen ovenfor. Kopier tekst og sæt ind i databehandleraftalen (</w:t>
      </w:r>
      <w:r w:rsidR="00130FD5" w:rsidRPr="00130FD5">
        <w:rPr>
          <w:i/>
        </w:rPr>
        <w:t>Bilag C.7 – Procedurer for den dataansvarliges revisioner</w:t>
      </w:r>
      <w:r w:rsidR="00130FD5">
        <w:rPr>
          <w:i/>
        </w:rPr>
        <w:t>.</w:t>
      </w:r>
      <w:r w:rsidR="00130FD5" w:rsidRPr="00130FD5">
        <w:rPr>
          <w:i/>
        </w:rPr>
        <w:t>..</w:t>
      </w:r>
      <w:r w:rsidR="00130FD5">
        <w:t xml:space="preserve">): </w:t>
      </w:r>
      <w:r>
        <w:t xml:space="preserve"> </w:t>
      </w:r>
    </w:p>
    <w:p w:rsidR="00721C9E" w:rsidRPr="00721C9E" w:rsidRDefault="00721C9E" w:rsidP="00721C9E"/>
    <w:p w:rsidR="004A3CBF" w:rsidRPr="004A3CBF" w:rsidRDefault="00AC6D9C" w:rsidP="004A3CBF">
      <w:pPr>
        <w:rPr>
          <w:rFonts w:cs="Arial"/>
        </w:rPr>
      </w:pPr>
      <w:r>
        <w:rPr>
          <w:rStyle w:val="normaltextrun"/>
          <w:rFonts w:eastAsiaTheme="majorEastAsia" w:cs="Arial"/>
          <w:shd w:val="clear" w:color="auto" w:fill="FFFF00"/>
        </w:rPr>
        <w:t>Ved middelhøjt til højt risikoniveau (Gul og Rød)</w:t>
      </w:r>
    </w:p>
    <w:p w:rsidR="00AC6D9C" w:rsidRDefault="00AC6D9C" w:rsidP="00AC6D9C">
      <w:r w:rsidRPr="001C1FE4">
        <w:t xml:space="preserve">Databehandleren skal </w:t>
      </w:r>
      <w:r w:rsidRPr="00AC6D9C">
        <w:t>én gang årligt for</w:t>
      </w:r>
      <w:r w:rsidRPr="002A2175">
        <w:t xml:space="preserve"> egen regning </w:t>
      </w:r>
      <w:r w:rsidRPr="00AC6D9C">
        <w:t>indhente en revisionserklæring fra en uafhængig tredjepart angående</w:t>
      </w:r>
      <w:r w:rsidRPr="001C1FE4">
        <w:t xml:space="preserve"> </w:t>
      </w:r>
      <w:r>
        <w:t>d</w:t>
      </w:r>
      <w:r w:rsidRPr="001C1FE4">
        <w:t xml:space="preserve">atabehandlerens overholdelse af databeskyttelsesforordningen, databeskyttelsesbestemmelser i anden EU-ret eller medlemsstaternes nationale ret og </w:t>
      </w:r>
      <w:r>
        <w:t xml:space="preserve">disse Bestemmelser. </w:t>
      </w:r>
    </w:p>
    <w:p w:rsidR="00AC6D9C" w:rsidRPr="00AC6D9C" w:rsidRDefault="00AC6D9C" w:rsidP="00AC6D9C">
      <w:r w:rsidRPr="00AC6D9C">
        <w:t xml:space="preserve">Revisionserklæringen skal være af typen ISAE 3000 </w:t>
      </w:r>
      <w:proofErr w:type="gramStart"/>
      <w:r w:rsidRPr="00AC6D9C">
        <w:t>GDPR type</w:t>
      </w:r>
      <w:proofErr w:type="gramEnd"/>
      <w:r w:rsidRPr="00AC6D9C">
        <w:t xml:space="preserve"> 2 med høj grad af sikkerhed udarbejdet efter helhedsmetoden, dækkende kravene beskrevet i denne databehandleraftale. Revisionserklæringen fremsendes til den dataansvarlige.</w:t>
      </w:r>
    </w:p>
    <w:p w:rsidR="00AC6D9C" w:rsidRDefault="00AC6D9C" w:rsidP="00AC6D9C"/>
    <w:p w:rsidR="00AC6D9C" w:rsidRPr="00505CBF" w:rsidRDefault="00AC6D9C" w:rsidP="00AC6D9C">
      <w:pPr>
        <w:rPr>
          <w:bCs/>
        </w:rPr>
      </w:pPr>
      <w:r w:rsidRPr="00505CBF">
        <w:t>Den dataansvarlige kan fravige den aftalte tilsynsform, såfremt den dataansvarlige vurderer, at databehandleren på anden vis vil kunne dokumentere overholdelse af databeskyttelsesforordningen, databeskyttelsesbestemmelser i anden EU-ret eller medlemsstaternes nationale ret og disse Bestemmelser med tilhørende bilag.</w:t>
      </w:r>
    </w:p>
    <w:p w:rsidR="00AC6D9C" w:rsidRDefault="00AC6D9C" w:rsidP="00AC6D9C"/>
    <w:p w:rsidR="00AC6D9C" w:rsidRPr="00505CBF" w:rsidRDefault="00AC6D9C" w:rsidP="00AC6D9C">
      <w:pPr>
        <w:rPr>
          <w:bCs/>
        </w:rPr>
      </w:pPr>
      <w:r w:rsidRPr="00505CBF">
        <w:t>Baseret på resultaterne af tilsynet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rsidR="00AC6D9C" w:rsidRDefault="00AC6D9C" w:rsidP="00AC6D9C"/>
    <w:p w:rsidR="00AC6D9C" w:rsidRPr="00505CBF" w:rsidRDefault="00AC6D9C" w:rsidP="00AC6D9C">
      <w:pPr>
        <w:rPr>
          <w:bCs/>
        </w:rPr>
      </w:pPr>
      <w:r w:rsidRPr="00505CBF">
        <w:t>Den dataansvarlige, eller en uafhængig revisor bemyndiget af den dataansvarlige, har endvidere ret til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Den dataansvarlige indhenter en erklæring om fortrolighed fra den uafhængige revisor.</w:t>
      </w:r>
    </w:p>
    <w:p w:rsidR="00AC6D9C" w:rsidRPr="00505CBF" w:rsidRDefault="00AC6D9C" w:rsidP="00AC6D9C">
      <w:pPr>
        <w:rPr>
          <w:bCs/>
        </w:rPr>
      </w:pPr>
      <w:r w:rsidRPr="00505CBF">
        <w:t>Den dataansvarlige kan anfægte rammerne for de foretagne kontrolforanstaltninger og kan i sådanne tilfælde anmode om en (ny) revisionserklæring og/eller (ny) inspektion under andre rammer og/eller under anvendelse af anden metode.</w:t>
      </w:r>
    </w:p>
    <w:p w:rsidR="00AC6D9C" w:rsidRPr="00505CBF" w:rsidRDefault="00AC6D9C" w:rsidP="00AC6D9C">
      <w:r w:rsidRPr="00505CBF">
        <w:t>Den dataansvarlige er berettiget til at videregive informationer modtaget i henhold til bestemmelserne i nærværende bilag til den kompetente tilsynsmyndighed efter anmodning herom fra myndigheden.</w:t>
      </w:r>
    </w:p>
    <w:p w:rsidR="00AC6D9C" w:rsidRPr="009E7A3F" w:rsidRDefault="00AC6D9C" w:rsidP="00AC6D9C">
      <w:r w:rsidRPr="009E7A3F">
        <w:rPr>
          <w:rStyle w:val="eop"/>
          <w:rFonts w:cs="Arial"/>
          <w:color w:val="00B050"/>
          <w:szCs w:val="19"/>
        </w:rPr>
        <w:t> </w:t>
      </w:r>
    </w:p>
    <w:p w:rsidR="00AC6D9C" w:rsidRPr="006C5B3B" w:rsidRDefault="00AC6D9C" w:rsidP="00AC6D9C">
      <w:pPr>
        <w:rPr>
          <w:bCs/>
        </w:rPr>
      </w:pPr>
      <w:r w:rsidRPr="00000D64">
        <w:rPr>
          <w:highlight w:val="yellow"/>
        </w:rPr>
        <w:t>Ved lavt</w:t>
      </w:r>
      <w:r>
        <w:rPr>
          <w:highlight w:val="yellow"/>
        </w:rPr>
        <w:t xml:space="preserve"> til middel-lavt</w:t>
      </w:r>
      <w:r w:rsidRPr="00000D64">
        <w:rPr>
          <w:highlight w:val="yellow"/>
        </w:rPr>
        <w:t xml:space="preserve"> risikoniveau </w:t>
      </w:r>
      <w:r>
        <w:rPr>
          <w:highlight w:val="yellow"/>
        </w:rPr>
        <w:t xml:space="preserve">(Grøn til Gul) </w:t>
      </w:r>
    </w:p>
    <w:p w:rsidR="00AC6D9C" w:rsidRPr="00505CBF" w:rsidRDefault="00AC6D9C" w:rsidP="00AC6D9C">
      <w:pPr>
        <w:rPr>
          <w:bCs/>
        </w:rPr>
      </w:pPr>
      <w:r w:rsidRPr="001C1FE4">
        <w:t xml:space="preserve">Databehandleren </w:t>
      </w:r>
      <w:r w:rsidRPr="00AC6D9C">
        <w:t xml:space="preserve">skal </w:t>
      </w:r>
      <w:r w:rsidRPr="00AC6D9C">
        <w:rPr>
          <w:highlight w:val="yellow"/>
        </w:rPr>
        <w:t>årligt</w:t>
      </w:r>
      <w:r>
        <w:rPr>
          <w:rStyle w:val="Fodnotehenvisning"/>
          <w:highlight w:val="yellow"/>
        </w:rPr>
        <w:footnoteReference w:id="1"/>
      </w:r>
      <w:r w:rsidRPr="00AC6D9C">
        <w:t xml:space="preserve"> for egen regning afgive en erklæring</w:t>
      </w:r>
      <w:r w:rsidRPr="00A77A9B">
        <w:t xml:space="preserve"> </w:t>
      </w:r>
      <w:r w:rsidRPr="001C1FE4">
        <w:t xml:space="preserve">angående </w:t>
      </w:r>
      <w:r>
        <w:t>d</w:t>
      </w:r>
      <w:r w:rsidRPr="001C1FE4">
        <w:t xml:space="preserve">atabehandlerens og dennes eventuelle underdatabehandleres overholdelse af databeskyttelsesforordningen, databeskyttelsesbestemmelser i anden EU-ret eller medlemsstaternes nationale ret og </w:t>
      </w:r>
      <w:r>
        <w:t>disse</w:t>
      </w:r>
      <w:r w:rsidRPr="00135542">
        <w:t xml:space="preserve"> </w:t>
      </w:r>
      <w:r w:rsidRPr="00505CBF">
        <w:t xml:space="preserve">Bestemmelser med tilhørende bilag. </w:t>
      </w:r>
    </w:p>
    <w:p w:rsidR="00AC6D9C" w:rsidRDefault="00AC6D9C" w:rsidP="00AC6D9C"/>
    <w:p w:rsidR="00AC6D9C" w:rsidRPr="00D11147" w:rsidRDefault="00AC6D9C" w:rsidP="00AC6D9C">
      <w:pPr>
        <w:rPr>
          <w:bCs/>
        </w:rPr>
      </w:pPr>
      <w:r w:rsidRPr="00505CBF">
        <w:t xml:space="preserve">Såfremt den dataansvarlige vurderer, at den fremsendte erklæring ikke på tilstrækkelig vis godtgør databehandlerens og dennes eventuelle underdatabehandleres overholdelse af databeskyttelsesforordningen, databeskyttelsesbestemmelser i anden EU-ret eller medlemsstaternes nationale ret og disse Bestemmelser med tilhørende bilag, </w:t>
      </w:r>
      <w:r w:rsidRPr="00D11147">
        <w:t>skal databehandleren på den dataansvarliges anmodning og for databehandlerens regning fremsende den nødvendige dokumentation til påvisning af overholdelsen af databeskyttelsesforordningen, databeskyttelsesbestemmelser i anden EU-ret eller medlemsstaternes nationale ret og disse Bestemmelser med tilhørende bilag</w:t>
      </w:r>
    </w:p>
    <w:p w:rsidR="00AC6D9C" w:rsidRDefault="00AC6D9C" w:rsidP="00AC6D9C"/>
    <w:p w:rsidR="00AC6D9C" w:rsidRPr="00505CBF" w:rsidRDefault="00AC6D9C" w:rsidP="00AC6D9C">
      <w:pPr>
        <w:rPr>
          <w:bCs/>
        </w:rPr>
      </w:pPr>
      <w:r w:rsidRPr="00505CBF">
        <w:lastRenderedPageBreak/>
        <w:t>Den dataansvarlige, eller en uafhængig revisor bemyndiget af den dataansvarlige, har endvidere ret til med rimeligt varsel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Det kan eksempelvis være tilfældet, hvis en konkret omstændighed, f.eks. et sikkerhedsbrud, giver anledning til tvivl om beskyttelsen af personoplysningerne hos databehandleren. Den dataansvarlige indhenter en erklæring om fortrolighed fra den uafhængige revisor.</w:t>
      </w:r>
    </w:p>
    <w:p w:rsidR="00AC6D9C" w:rsidRDefault="00AC6D9C" w:rsidP="00AC6D9C"/>
    <w:p w:rsidR="00AC6D9C" w:rsidRPr="00505CBF" w:rsidRDefault="00AC6D9C" w:rsidP="00AC6D9C">
      <w:pPr>
        <w:rPr>
          <w:bCs/>
        </w:rPr>
      </w:pPr>
      <w:r w:rsidRPr="00505CBF">
        <w:t xml:space="preserve">Den dataansvarlige kan anfægte rammerne for de foretagne kontrolforanstaltninger og </w:t>
      </w:r>
      <w:r>
        <w:t xml:space="preserve">anmode om supplerende dokumentation af databehandlerens og dennes eventuelle underdatabehandleres </w:t>
      </w:r>
      <w:r w:rsidRPr="00505CBF">
        <w:t>overholdelse af databeskyttelsesforordningen, databeskyttelsesbestemmelser i anden EU-ret eller medlemsstaternes nationale ret og disse Bestemmelser med tilhørende bilag</w:t>
      </w:r>
    </w:p>
    <w:p w:rsidR="00AC6D9C" w:rsidRDefault="00AC6D9C" w:rsidP="00AC6D9C"/>
    <w:p w:rsidR="00AC6D9C" w:rsidRPr="001C1FE4" w:rsidRDefault="00AC6D9C" w:rsidP="00AC6D9C">
      <w:pPr>
        <w:rPr>
          <w:bCs/>
        </w:rPr>
      </w:pPr>
      <w:r w:rsidRPr="001C1FE4">
        <w:t xml:space="preserve">Baseret på resultaterne af kontrolforanstaltningerne, er </w:t>
      </w:r>
      <w:r>
        <w:t>d</w:t>
      </w:r>
      <w:r w:rsidRPr="001C1FE4">
        <w:t xml:space="preserve">en </w:t>
      </w:r>
      <w:r>
        <w:t>d</w:t>
      </w:r>
      <w:r w:rsidRPr="001C1FE4">
        <w:t xml:space="preserve">ataansvarlige berettiget til at anmode om gennemførelse af yderligere </w:t>
      </w:r>
      <w:r>
        <w:t xml:space="preserve">tilstrækkelige </w:t>
      </w:r>
      <w:r w:rsidRPr="001C1FE4">
        <w:t xml:space="preserve">foranstaltninger med henblik på at sikre overholdelsen af databeskyttelsesforordningen, databeskyttelsesbestemmelser i anden EU-ret eller medlemsstaternes nationale ret og </w:t>
      </w:r>
      <w:r>
        <w:t>disse Bestemmelser</w:t>
      </w:r>
      <w:r w:rsidRPr="001C1FE4">
        <w:t>.</w:t>
      </w:r>
    </w:p>
    <w:p w:rsidR="00AC6D9C" w:rsidRDefault="00AC6D9C" w:rsidP="00AC6D9C"/>
    <w:p w:rsidR="004A3CBF" w:rsidRPr="004A3CBF" w:rsidRDefault="00AC6D9C" w:rsidP="00AC6D9C">
      <w:r w:rsidRPr="0096302B">
        <w:t>Den dataansvarlige er berettiget til at videregive informationer modtaget i henhold til bestemmelserne i nærværende bilag til den kompetente tilsynsmyndighed efter anmodning herom fra myndigheden.</w:t>
      </w:r>
    </w:p>
    <w:sectPr w:rsidR="004A3CBF" w:rsidRPr="004A3CB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9C" w:rsidRDefault="00AC6D9C" w:rsidP="00AC6D9C">
      <w:pPr>
        <w:spacing w:line="240" w:lineRule="auto"/>
      </w:pPr>
      <w:r>
        <w:separator/>
      </w:r>
    </w:p>
  </w:endnote>
  <w:endnote w:type="continuationSeparator" w:id="0">
    <w:p w:rsidR="00AC6D9C" w:rsidRDefault="00AC6D9C" w:rsidP="00AC6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9C" w:rsidRDefault="00AC6D9C" w:rsidP="00AC6D9C">
      <w:pPr>
        <w:spacing w:line="240" w:lineRule="auto"/>
      </w:pPr>
      <w:r>
        <w:separator/>
      </w:r>
    </w:p>
  </w:footnote>
  <w:footnote w:type="continuationSeparator" w:id="0">
    <w:p w:rsidR="00AC6D9C" w:rsidRDefault="00AC6D9C" w:rsidP="00AC6D9C">
      <w:pPr>
        <w:spacing w:line="240" w:lineRule="auto"/>
      </w:pPr>
      <w:r>
        <w:continuationSeparator/>
      </w:r>
    </w:p>
  </w:footnote>
  <w:footnote w:id="1">
    <w:p w:rsidR="00AC6D9C" w:rsidRDefault="00AC6D9C">
      <w:pPr>
        <w:pStyle w:val="Fodnotetekst"/>
      </w:pPr>
      <w:r>
        <w:rPr>
          <w:rStyle w:val="Fodnotehenvisning"/>
        </w:rPr>
        <w:footnoteRef/>
      </w:r>
      <w:r>
        <w:t xml:space="preserve"> Ved lavt risikoniveau kan hvert andet år vælges.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BC1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742586"/>
    <w:multiLevelType w:val="multilevel"/>
    <w:tmpl w:val="79C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254EF"/>
    <w:multiLevelType w:val="hybridMultilevel"/>
    <w:tmpl w:val="526C70A0"/>
    <w:lvl w:ilvl="0" w:tplc="488C88C4">
      <w:start w:val="1"/>
      <w:numFmt w:val="bullet"/>
      <w:lvlText w:val=""/>
      <w:lvlJc w:val="left"/>
      <w:pPr>
        <w:tabs>
          <w:tab w:val="num" w:pos="360"/>
        </w:tabs>
        <w:ind w:left="360" w:hanging="360"/>
      </w:pPr>
      <w:rPr>
        <w:rFonts w:ascii="Symbol" w:hAnsi="Symbol" w:hint="default"/>
        <w:sz w:val="20"/>
      </w:rPr>
    </w:lvl>
    <w:lvl w:ilvl="1" w:tplc="6C4E6F30">
      <w:start w:val="1"/>
      <w:numFmt w:val="bullet"/>
      <w:lvlText w:val=""/>
      <w:lvlJc w:val="left"/>
      <w:pPr>
        <w:tabs>
          <w:tab w:val="num" w:pos="1080"/>
        </w:tabs>
        <w:ind w:left="1080" w:hanging="360"/>
      </w:pPr>
      <w:rPr>
        <w:rFonts w:ascii="Symbol" w:hAnsi="Symbol" w:hint="default"/>
        <w:sz w:val="20"/>
      </w:rPr>
    </w:lvl>
    <w:lvl w:ilvl="2" w:tplc="F96E7550">
      <w:start w:val="1"/>
      <w:numFmt w:val="bullet"/>
      <w:lvlText w:val=""/>
      <w:lvlJc w:val="left"/>
      <w:pPr>
        <w:tabs>
          <w:tab w:val="num" w:pos="1800"/>
        </w:tabs>
        <w:ind w:left="1800" w:hanging="360"/>
      </w:pPr>
      <w:rPr>
        <w:rFonts w:ascii="Symbol" w:hAnsi="Symbol" w:hint="default"/>
        <w:sz w:val="20"/>
      </w:rPr>
    </w:lvl>
    <w:lvl w:ilvl="3" w:tplc="116494E2">
      <w:start w:val="1"/>
      <w:numFmt w:val="bullet"/>
      <w:lvlText w:val="o"/>
      <w:lvlJc w:val="left"/>
      <w:pPr>
        <w:tabs>
          <w:tab w:val="num" w:pos="2520"/>
        </w:tabs>
        <w:ind w:left="2520" w:hanging="360"/>
      </w:pPr>
      <w:rPr>
        <w:rFonts w:ascii="Courier New" w:hAnsi="Courier New" w:hint="default"/>
        <w:sz w:val="20"/>
      </w:rPr>
    </w:lvl>
    <w:lvl w:ilvl="4" w:tplc="406602F8" w:tentative="1">
      <w:start w:val="1"/>
      <w:numFmt w:val="bullet"/>
      <w:lvlText w:val=""/>
      <w:lvlJc w:val="left"/>
      <w:pPr>
        <w:tabs>
          <w:tab w:val="num" w:pos="3240"/>
        </w:tabs>
        <w:ind w:left="3240" w:hanging="360"/>
      </w:pPr>
      <w:rPr>
        <w:rFonts w:ascii="Wingdings" w:hAnsi="Wingdings" w:hint="default"/>
        <w:sz w:val="20"/>
      </w:rPr>
    </w:lvl>
    <w:lvl w:ilvl="5" w:tplc="3F9E008C" w:tentative="1">
      <w:start w:val="1"/>
      <w:numFmt w:val="bullet"/>
      <w:lvlText w:val=""/>
      <w:lvlJc w:val="left"/>
      <w:pPr>
        <w:tabs>
          <w:tab w:val="num" w:pos="3960"/>
        </w:tabs>
        <w:ind w:left="3960" w:hanging="360"/>
      </w:pPr>
      <w:rPr>
        <w:rFonts w:ascii="Wingdings" w:hAnsi="Wingdings" w:hint="default"/>
        <w:sz w:val="20"/>
      </w:rPr>
    </w:lvl>
    <w:lvl w:ilvl="6" w:tplc="5A586174" w:tentative="1">
      <w:start w:val="1"/>
      <w:numFmt w:val="bullet"/>
      <w:lvlText w:val=""/>
      <w:lvlJc w:val="left"/>
      <w:pPr>
        <w:tabs>
          <w:tab w:val="num" w:pos="4680"/>
        </w:tabs>
        <w:ind w:left="4680" w:hanging="360"/>
      </w:pPr>
      <w:rPr>
        <w:rFonts w:ascii="Wingdings" w:hAnsi="Wingdings" w:hint="default"/>
        <w:sz w:val="20"/>
      </w:rPr>
    </w:lvl>
    <w:lvl w:ilvl="7" w:tplc="2F9007AA" w:tentative="1">
      <w:start w:val="1"/>
      <w:numFmt w:val="bullet"/>
      <w:lvlText w:val=""/>
      <w:lvlJc w:val="left"/>
      <w:pPr>
        <w:tabs>
          <w:tab w:val="num" w:pos="5400"/>
        </w:tabs>
        <w:ind w:left="5400" w:hanging="360"/>
      </w:pPr>
      <w:rPr>
        <w:rFonts w:ascii="Wingdings" w:hAnsi="Wingdings" w:hint="default"/>
        <w:sz w:val="20"/>
      </w:rPr>
    </w:lvl>
    <w:lvl w:ilvl="8" w:tplc="60AE7752"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EEC3D18"/>
    <w:multiLevelType w:val="multilevel"/>
    <w:tmpl w:val="13F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81425"/>
    <w:multiLevelType w:val="multilevel"/>
    <w:tmpl w:val="E85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lvlOverride w:ilvl="1">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BF"/>
    <w:rsid w:val="00130FD5"/>
    <w:rsid w:val="003E4C96"/>
    <w:rsid w:val="004A3CBF"/>
    <w:rsid w:val="00721C9E"/>
    <w:rsid w:val="00860CE7"/>
    <w:rsid w:val="009712E0"/>
    <w:rsid w:val="00AC6D9C"/>
    <w:rsid w:val="00CA32B9"/>
    <w:rsid w:val="00EE3833"/>
    <w:rsid w:val="00EF13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672F"/>
  <w15:chartTrackingRefBased/>
  <w15:docId w15:val="{D07F1909-3841-4E3D-BF9E-B914D641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CBF"/>
    <w:pPr>
      <w:spacing w:after="0" w:line="280" w:lineRule="exact"/>
    </w:pPr>
    <w:rPr>
      <w:rFonts w:ascii="Arial" w:hAnsi="Arial" w:cs="Times New Roman"/>
      <w:sz w:val="19"/>
      <w:szCs w:val="20"/>
    </w:rPr>
  </w:style>
  <w:style w:type="paragraph" w:styleId="Overskrift1">
    <w:name w:val="heading 1"/>
    <w:basedOn w:val="Normal"/>
    <w:next w:val="Normal"/>
    <w:link w:val="Overskrift1Tegn"/>
    <w:uiPriority w:val="9"/>
    <w:qFormat/>
    <w:rsid w:val="004A3C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A3CB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A3CBF"/>
    <w:rPr>
      <w:sz w:val="16"/>
      <w:szCs w:val="16"/>
    </w:rPr>
  </w:style>
  <w:style w:type="table" w:customStyle="1" w:styleId="Tabel-Gitter1">
    <w:name w:val="Tabel - Gitter1"/>
    <w:basedOn w:val="Tabel-Normal"/>
    <w:next w:val="Tabel-Gitter"/>
    <w:uiPriority w:val="39"/>
    <w:rsid w:val="004A3CB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rsid w:val="004A3CBF"/>
    <w:pPr>
      <w:ind w:left="720"/>
    </w:pPr>
  </w:style>
  <w:style w:type="paragraph" w:customStyle="1" w:styleId="paragraph">
    <w:name w:val="paragraph"/>
    <w:basedOn w:val="Normal"/>
    <w:rsid w:val="004A3CBF"/>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normaltextrun">
    <w:name w:val="normaltextrun"/>
    <w:basedOn w:val="Standardskrifttypeiafsnit"/>
    <w:rsid w:val="004A3CBF"/>
  </w:style>
  <w:style w:type="character" w:customStyle="1" w:styleId="eop">
    <w:name w:val="eop"/>
    <w:basedOn w:val="Standardskrifttypeiafsnit"/>
    <w:rsid w:val="004A3CBF"/>
  </w:style>
  <w:style w:type="character" w:customStyle="1" w:styleId="spellingerror">
    <w:name w:val="spellingerror"/>
    <w:basedOn w:val="Standardskrifttypeiafsnit"/>
    <w:rsid w:val="004A3CBF"/>
  </w:style>
  <w:style w:type="character" w:customStyle="1" w:styleId="Overskrift1Tegn">
    <w:name w:val="Overskrift 1 Tegn"/>
    <w:basedOn w:val="Standardskrifttypeiafsnit"/>
    <w:link w:val="Overskrift1"/>
    <w:uiPriority w:val="9"/>
    <w:rsid w:val="004A3CB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21C9E"/>
    <w:pPr>
      <w:spacing w:before="100" w:beforeAutospacing="1" w:after="100" w:afterAutospacing="1" w:line="240" w:lineRule="auto"/>
    </w:pPr>
    <w:rPr>
      <w:rFonts w:ascii="Times New Roman" w:eastAsia="Times New Roman" w:hAnsi="Times New Roman"/>
      <w:sz w:val="24"/>
      <w:szCs w:val="24"/>
      <w:lang w:eastAsia="da-DK"/>
    </w:rPr>
  </w:style>
  <w:style w:type="paragraph" w:styleId="Opstilling-punkttegn">
    <w:name w:val="List Bullet"/>
    <w:basedOn w:val="Normal"/>
    <w:uiPriority w:val="99"/>
    <w:semiHidden/>
    <w:unhideWhenUsed/>
    <w:rsid w:val="00130FD5"/>
    <w:pPr>
      <w:numPr>
        <w:numId w:val="5"/>
      </w:numPr>
      <w:contextualSpacing/>
    </w:pPr>
  </w:style>
  <w:style w:type="paragraph" w:styleId="Markeringsbobletekst">
    <w:name w:val="Balloon Text"/>
    <w:basedOn w:val="Normal"/>
    <w:link w:val="MarkeringsbobletekstTegn"/>
    <w:uiPriority w:val="99"/>
    <w:semiHidden/>
    <w:unhideWhenUsed/>
    <w:rsid w:val="003E4C9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4C96"/>
    <w:rPr>
      <w:rFonts w:ascii="Segoe UI" w:hAnsi="Segoe UI" w:cs="Segoe UI"/>
      <w:sz w:val="18"/>
      <w:szCs w:val="18"/>
    </w:rPr>
  </w:style>
  <w:style w:type="paragraph" w:styleId="Fodnotetekst">
    <w:name w:val="footnote text"/>
    <w:basedOn w:val="Normal"/>
    <w:link w:val="FodnotetekstTegn"/>
    <w:uiPriority w:val="99"/>
    <w:semiHidden/>
    <w:unhideWhenUsed/>
    <w:rsid w:val="00AC6D9C"/>
    <w:pPr>
      <w:spacing w:line="240" w:lineRule="auto"/>
    </w:pPr>
    <w:rPr>
      <w:sz w:val="20"/>
    </w:rPr>
  </w:style>
  <w:style w:type="character" w:customStyle="1" w:styleId="FodnotetekstTegn">
    <w:name w:val="Fodnotetekst Tegn"/>
    <w:basedOn w:val="Standardskrifttypeiafsnit"/>
    <w:link w:val="Fodnotetekst"/>
    <w:uiPriority w:val="99"/>
    <w:semiHidden/>
    <w:rsid w:val="00AC6D9C"/>
    <w:rPr>
      <w:rFonts w:ascii="Arial" w:hAnsi="Arial" w:cs="Times New Roman"/>
      <w:sz w:val="20"/>
      <w:szCs w:val="20"/>
    </w:rPr>
  </w:style>
  <w:style w:type="character" w:styleId="Fodnotehenvisning">
    <w:name w:val="footnote reference"/>
    <w:basedOn w:val="Standardskrifttypeiafsnit"/>
    <w:uiPriority w:val="99"/>
    <w:semiHidden/>
    <w:unhideWhenUsed/>
    <w:rsid w:val="00AC6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88951">
      <w:bodyDiv w:val="1"/>
      <w:marLeft w:val="0"/>
      <w:marRight w:val="0"/>
      <w:marTop w:val="0"/>
      <w:marBottom w:val="0"/>
      <w:divBdr>
        <w:top w:val="none" w:sz="0" w:space="0" w:color="auto"/>
        <w:left w:val="none" w:sz="0" w:space="0" w:color="auto"/>
        <w:bottom w:val="none" w:sz="0" w:space="0" w:color="auto"/>
        <w:right w:val="none" w:sz="0" w:space="0" w:color="auto"/>
      </w:divBdr>
    </w:div>
    <w:div w:id="1283222836">
      <w:bodyDiv w:val="1"/>
      <w:marLeft w:val="0"/>
      <w:marRight w:val="0"/>
      <w:marTop w:val="0"/>
      <w:marBottom w:val="0"/>
      <w:divBdr>
        <w:top w:val="none" w:sz="0" w:space="0" w:color="auto"/>
        <w:left w:val="none" w:sz="0" w:space="0" w:color="auto"/>
        <w:bottom w:val="none" w:sz="0" w:space="0" w:color="auto"/>
        <w:right w:val="none" w:sz="0" w:space="0" w:color="auto"/>
      </w:divBdr>
    </w:div>
    <w:div w:id="1355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BEA0-0D19-4270-8D38-09EF137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1103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Lynge Reindl</dc:creator>
  <cp:keywords/>
  <dc:description/>
  <cp:lastModifiedBy>Simone Lynge Reindl</cp:lastModifiedBy>
  <cp:revision>6</cp:revision>
  <cp:lastPrinted>2023-03-08T12:54:00Z</cp:lastPrinted>
  <dcterms:created xsi:type="dcterms:W3CDTF">2023-02-22T09:11:00Z</dcterms:created>
  <dcterms:modified xsi:type="dcterms:W3CDTF">2023-10-02T15:06:00Z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{87F827EC-328A-4010-AE21-254789154257}</vt:lpwstr>
  </property>
</Properties>
</file>